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5870A">
      <w:pPr>
        <w:pStyle w:val="164"/>
      </w:pPr>
      <w:bookmarkStart w:id="0" w:name="_GoBack"/>
      <w:bookmarkEnd w:id="0"/>
      <w:r>
        <w:t>INRIO</w:t>
      </w:r>
    </w:p>
    <w:p w14:paraId="62B9ED8D">
      <w:pPr>
        <w:pStyle w:val="166"/>
      </w:pPr>
      <w:r>
        <w:t>International Nuclear Research Infrastructure Organization</w:t>
      </w:r>
    </w:p>
    <w:p w14:paraId="0DF18D43"/>
    <w:p w14:paraId="55AF24CD"/>
    <w:p w14:paraId="1E54177B"/>
    <w:p w14:paraId="4243FDE1">
      <w:pPr>
        <w:pStyle w:val="165"/>
        <w:pBdr>
          <w:bottom w:val="single" w:color="1A3757" w:sz="16" w:space="8"/>
        </w:pBdr>
      </w:pPr>
      <w:r>
        <w:t>STATUTE</w:t>
      </w:r>
    </w:p>
    <w:p w14:paraId="4E7C05CF">
      <w:pPr>
        <w:pStyle w:val="166"/>
      </w:pPr>
      <w:r>
        <w:t>English Translation</w:t>
      </w:r>
    </w:p>
    <w:p w14:paraId="3AC09D69">
      <w:pPr>
        <w:pStyle w:val="166"/>
      </w:pPr>
      <w:r>
        <w:rPr>
          <w:b/>
        </w:rPr>
        <w:t>DRAFT</w:t>
      </w:r>
    </w:p>
    <w:p w14:paraId="015CA12B"/>
    <w:p w14:paraId="108ED21A"/>
    <w:p w14:paraId="621FE9FE"/>
    <w:p w14:paraId="740D2CE3"/>
    <w:p w14:paraId="7505503E"/>
    <w:p w14:paraId="052F3668"/>
    <w:p w14:paraId="209C8B47">
      <w:pPr>
        <w:pStyle w:val="166"/>
      </w:pPr>
      <w:r>
        <w:t>Adopted on [Date]</w:t>
      </w:r>
    </w:p>
    <w:p w14:paraId="253BFCC6">
      <w:pPr>
        <w:pStyle w:val="166"/>
      </w:pPr>
      <w:r>
        <w:t>Version 1</w:t>
      </w:r>
      <w:r>
        <w:rPr>
          <w:rFonts w:hint="eastAsia" w:eastAsia="宋体"/>
          <w:lang w:val="en-US" w:eastAsia="zh-CN"/>
        </w:rPr>
        <w:t>6</w:t>
      </w:r>
      <w:r>
        <w:t xml:space="preserve"> | </w:t>
      </w:r>
      <w:r>
        <w:rPr>
          <w:rFonts w:hint="eastAsia" w:eastAsia="宋体"/>
          <w:lang w:val="en-US" w:eastAsia="zh-CN"/>
        </w:rPr>
        <w:t>21</w:t>
      </w:r>
      <w:r>
        <w:t xml:space="preserve"> </w:t>
      </w:r>
      <w:r>
        <w:rPr>
          <w:rFonts w:hint="eastAsia" w:eastAsia="宋体"/>
          <w:lang w:val="en-US" w:eastAsia="zh-CN"/>
        </w:rPr>
        <w:t>August</w:t>
      </w:r>
      <w:r>
        <w:t xml:space="preserve"> 2026</w:t>
      </w:r>
    </w:p>
    <w:p w14:paraId="7742B791"/>
    <w:p w14:paraId="2AEEAD99"/>
    <w:p w14:paraId="40E16780">
      <w:pPr>
        <w:pStyle w:val="175"/>
      </w:pPr>
    </w:p>
    <w:p w14:paraId="7CD7A098">
      <w:r>
        <w:br w:type="page"/>
      </w:r>
    </w:p>
    <w:p w14:paraId="0DEE27C3">
      <w:pPr>
        <w:pStyle w:val="167"/>
        <w:keepNext/>
        <w:pBdr>
          <w:bottom w:val="single" w:color="1A3757" w:sz="10" w:space="4"/>
        </w:pBdr>
      </w:pPr>
      <w:r>
        <w:t>CONTENTS</w:t>
      </w:r>
    </w:p>
    <w:p w14:paraId="19A3EF8D">
      <w:pPr>
        <w:pStyle w:val="176"/>
        <w:ind w:left="0"/>
      </w:pPr>
      <w:r>
        <w:rPr>
          <w:b/>
        </w:rPr>
        <w:t xml:space="preserve">Chapter I  </w:t>
      </w:r>
      <w:r>
        <w:t>General Provisions</w:t>
      </w:r>
    </w:p>
    <w:p w14:paraId="7B6F7E9B">
      <w:pPr>
        <w:pStyle w:val="176"/>
        <w:ind w:left="0"/>
      </w:pPr>
      <w:r>
        <w:rPr>
          <w:b/>
        </w:rPr>
        <w:t xml:space="preserve">Chapter II  </w:t>
      </w:r>
      <w:r>
        <w:t>Scope of Activities</w:t>
      </w:r>
    </w:p>
    <w:p w14:paraId="7BDBD81F">
      <w:pPr>
        <w:pStyle w:val="176"/>
        <w:ind w:left="0"/>
      </w:pPr>
      <w:r>
        <w:rPr>
          <w:b/>
        </w:rPr>
        <w:t xml:space="preserve">Chapter III  </w:t>
      </w:r>
      <w:r>
        <w:t>Membership</w:t>
      </w:r>
    </w:p>
    <w:p w14:paraId="246C4828">
      <w:pPr>
        <w:pStyle w:val="176"/>
        <w:ind w:left="0"/>
      </w:pPr>
      <w:r>
        <w:rPr>
          <w:b/>
        </w:rPr>
        <w:t xml:space="preserve">Chapter IV  </w:t>
      </w:r>
      <w:r>
        <w:t>Organizational Structure</w:t>
      </w:r>
    </w:p>
    <w:p w14:paraId="26447ABB">
      <w:pPr>
        <w:pStyle w:val="176"/>
        <w:ind w:left="397"/>
      </w:pPr>
      <w:r>
        <w:rPr>
          <w:b/>
        </w:rPr>
        <w:t xml:space="preserve">Section 1  </w:t>
      </w:r>
      <w:r>
        <w:t>General Assembly</w:t>
      </w:r>
    </w:p>
    <w:p w14:paraId="087935F2">
      <w:pPr>
        <w:pStyle w:val="176"/>
        <w:ind w:left="397"/>
      </w:pPr>
      <w:r>
        <w:rPr>
          <w:b/>
        </w:rPr>
        <w:t xml:space="preserve">Section 2  </w:t>
      </w:r>
      <w:r>
        <w:t>Board of Directors</w:t>
      </w:r>
    </w:p>
    <w:p w14:paraId="1DAE663C">
      <w:pPr>
        <w:pStyle w:val="176"/>
        <w:ind w:left="397"/>
      </w:pPr>
      <w:r>
        <w:rPr>
          <w:b/>
        </w:rPr>
        <w:t xml:space="preserve">Section 3  </w:t>
      </w:r>
      <w:r>
        <w:t>Officers</w:t>
      </w:r>
    </w:p>
    <w:p w14:paraId="2644972F">
      <w:pPr>
        <w:pStyle w:val="176"/>
        <w:ind w:left="397"/>
      </w:pPr>
      <w:r>
        <w:rPr>
          <w:b/>
        </w:rPr>
        <w:t xml:space="preserve">Section 4  </w:t>
      </w:r>
      <w:r>
        <w:t>Supervisors</w:t>
      </w:r>
    </w:p>
    <w:p w14:paraId="03A51C80">
      <w:pPr>
        <w:pStyle w:val="176"/>
        <w:ind w:left="397"/>
      </w:pPr>
      <w:r>
        <w:rPr>
          <w:b/>
        </w:rPr>
        <w:t xml:space="preserve">Section 5  </w:t>
      </w:r>
      <w:r>
        <w:t>Branches and Representative Offices</w:t>
      </w:r>
    </w:p>
    <w:p w14:paraId="2FC8BFEC">
      <w:pPr>
        <w:pStyle w:val="176"/>
        <w:ind w:left="397"/>
      </w:pPr>
      <w:r>
        <w:rPr>
          <w:b/>
        </w:rPr>
        <w:t xml:space="preserve">Section 6  </w:t>
      </w:r>
      <w:r>
        <w:t>Internal Governance and Dispute Resolution</w:t>
      </w:r>
    </w:p>
    <w:p w14:paraId="1C7C442C">
      <w:pPr>
        <w:pStyle w:val="176"/>
        <w:ind w:left="0"/>
      </w:pPr>
      <w:r>
        <w:rPr>
          <w:b/>
        </w:rPr>
        <w:t xml:space="preserve">Chapter V  </w:t>
      </w:r>
      <w:r>
        <w:t>Financial and Asset Management Principles</w:t>
      </w:r>
    </w:p>
    <w:p w14:paraId="2B0B7753">
      <w:pPr>
        <w:pStyle w:val="176"/>
        <w:ind w:left="0"/>
      </w:pPr>
      <w:r>
        <w:rPr>
          <w:b/>
        </w:rPr>
        <w:t xml:space="preserve">Chapter VI  </w:t>
      </w:r>
      <w:r>
        <w:t>Amendment of the Statutes</w:t>
      </w:r>
    </w:p>
    <w:p w14:paraId="4B021E38">
      <w:pPr>
        <w:pStyle w:val="176"/>
        <w:ind w:left="0"/>
      </w:pPr>
      <w:r>
        <w:rPr>
          <w:b/>
        </w:rPr>
        <w:t xml:space="preserve">Chapter VII  </w:t>
      </w:r>
      <w:r>
        <w:t>Termination and Disposal of Remaining Assets</w:t>
      </w:r>
    </w:p>
    <w:p w14:paraId="254C7BD4">
      <w:pPr>
        <w:pStyle w:val="176"/>
        <w:ind w:left="0"/>
      </w:pPr>
      <w:r>
        <w:rPr>
          <w:b/>
        </w:rPr>
        <w:t xml:space="preserve">Chapter VIII  </w:t>
      </w:r>
      <w:r>
        <w:t>Working Languages</w:t>
      </w:r>
    </w:p>
    <w:p w14:paraId="11DF112C">
      <w:pPr>
        <w:pStyle w:val="176"/>
        <w:ind w:left="0"/>
      </w:pPr>
      <w:r>
        <w:rPr>
          <w:b/>
        </w:rPr>
        <w:t xml:space="preserve">Chapter IX  </w:t>
      </w:r>
      <w:r>
        <w:t>Supplementary Provisions</w:t>
      </w:r>
    </w:p>
    <w:p w14:paraId="6BF44A34">
      <w:pPr>
        <w:pStyle w:val="176"/>
        <w:ind w:left="0"/>
      </w:pPr>
      <w:r>
        <w:rPr>
          <w:b/>
        </w:rPr>
        <w:t xml:space="preserve">Annex 1  </w:t>
      </w:r>
      <w:r>
        <w:t>Responsibilities of Participants and Principles of Cooperation</w:t>
      </w:r>
    </w:p>
    <w:p w14:paraId="2E39E241">
      <w:r>
        <w:br w:type="page"/>
      </w:r>
    </w:p>
    <w:p w14:paraId="21548000">
      <w:pPr>
        <w:pStyle w:val="3"/>
        <w:widowControl/>
      </w:pPr>
      <w:r>
        <w:t>CHAPTER I  GENERAL PROVISIONS</w:t>
      </w:r>
    </w:p>
    <w:p w14:paraId="29C26876">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 </w:t>
      </w:r>
      <w:r>
        <w:rPr>
          <w:rFonts w:ascii="Times New Roman" w:hAnsi="Times New Roman" w:eastAsia="宋体" w:cs="Times New Roman"/>
          <w:sz w:val="24"/>
          <w:szCs w:val="24"/>
        </w:rPr>
        <w:t>The International Nuclear Research Infrastructure Organization (the "Organization") is an international, non-profit membership-based social organization voluntarily formed, under the joint initiative of the Chinese Nuclear Society, by domestic and foreign research institutions, higher-education institutions, academic societies, non-governmental organizations, corporate research institutions and other entities engaged in nuclear research infrastructure, nuclear science, applications of nuclear technology and related fields, as well as by experts, scholars, scientific and technological professionals in such fields.</w:t>
      </w:r>
    </w:p>
    <w:p w14:paraId="5A4BC9A8">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short name and acronym of the Organization shall be "INRIO", and its English name shall be "International Nuclear Research Infrastructure Organization".</w:t>
      </w:r>
    </w:p>
    <w:p w14:paraId="1577B7B5">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 </w:t>
      </w:r>
      <w:r>
        <w:rPr>
          <w:rFonts w:ascii="Times New Roman" w:hAnsi="Times New Roman" w:eastAsia="宋体" w:cs="Times New Roman"/>
          <w:sz w:val="24"/>
          <w:szCs w:val="24"/>
        </w:rPr>
        <w:t>The purpose of the Organization is to promote international academic exchange and cooperation in the field of nuclear research infrastructure, advance the open access and shared use of large-scale scientific facilities and joint research, and support innovation and human-resource development in nuclear research worldwide. The Organization shall not perform administrative or regulatory functions, including nuclear material control, nuclear safety regulation or facility licensing and approval.</w:t>
      </w:r>
    </w:p>
    <w:p w14:paraId="65A5C457">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 </w:t>
      </w:r>
      <w:r>
        <w:rPr>
          <w:rFonts w:ascii="Times New Roman" w:hAnsi="Times New Roman" w:eastAsia="宋体" w:cs="Times New Roman"/>
          <w:sz w:val="24"/>
          <w:szCs w:val="24"/>
        </w:rPr>
        <w:t>The registered office of the Organization shall be located in Beijing, China.</w:t>
      </w:r>
    </w:p>
    <w:p w14:paraId="35894C18">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 </w:t>
      </w:r>
      <w:r>
        <w:rPr>
          <w:rFonts w:ascii="Times New Roman" w:hAnsi="Times New Roman" w:eastAsia="宋体" w:cs="Times New Roman"/>
          <w:sz w:val="24"/>
          <w:szCs w:val="24"/>
        </w:rPr>
        <w:t>The Organization shall comply with the laws and regulations of China and of any other country or region in which it conducts activities, and shall respect local customs and practices.</w:t>
      </w:r>
    </w:p>
    <w:p w14:paraId="490E6A5D">
      <w:pPr>
        <w:pStyle w:val="3"/>
        <w:widowControl/>
      </w:pPr>
      <w:r>
        <w:t>CHAPTER II  SCOPE OF ACTIVITIES</w:t>
      </w:r>
    </w:p>
    <w:p w14:paraId="37049598">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 </w:t>
      </w:r>
      <w:r>
        <w:rPr>
          <w:rFonts w:ascii="Times New Roman" w:hAnsi="Times New Roman" w:eastAsia="宋体" w:cs="Times New Roman"/>
          <w:sz w:val="24"/>
          <w:szCs w:val="24"/>
        </w:rPr>
        <w:t>The Organization shall carry out the following activities in fields relating to nuclear science and nuclear research infrastructure:</w:t>
      </w:r>
    </w:p>
    <w:p w14:paraId="6B7BFF5F">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conduct studies on open access to and shared use of nuclear research infrastructure, user services, and mechanisms for international cooperation;</w:t>
      </w:r>
    </w:p>
    <w:p w14:paraId="25B2AEFB">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organize academic exchanges, international conferences, seminars, summer schools, exchanges for young scientists, expert visits and other activities relating to nuclear research infrastructure;</w:t>
      </w:r>
    </w:p>
    <w:p w14:paraId="7DB84043">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promote joint research, facility user programmes, exchange of research results, and capacity-building among Members in connection with nuclear research infrastructure;</w:t>
      </w:r>
    </w:p>
    <w:p w14:paraId="3FCA9B85">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identify and disseminate good practices in the design, construction, operation, management and user services of nuclear research infrastructure, and undertake studies with a view to developing standards, specifications, guidelines or recommendations;</w:t>
      </w:r>
    </w:p>
    <w:p w14:paraId="5513D274">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provide non-regulatory advisory, training and capacity-building services to countries and institutions planning to construct nuclear research infrastructure and to research institutions seeking access to such infrastructure;</w:t>
      </w:r>
    </w:p>
    <w:p w14:paraId="7D774EDD">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conduct exchanges and institutional studies concerning research data management, intellectual property, research integrity, radiation protection and experimental protocols;</w:t>
      </w:r>
    </w:p>
    <w:p w14:paraId="78F09200">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edit and publish academic journals, research reports, information materials and popular-science materials, and establish an international expert roster and exchange platform;</w:t>
      </w:r>
    </w:p>
    <w:p w14:paraId="38A3E40F">
      <w:pPr>
        <w:pStyle w:val="19"/>
        <w:widowControl/>
        <w:numPr>
          <w:ilvl w:val="0"/>
          <w:numId w:val="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carry out other international cooperation, public communication and service activities consistent with the purpose of the Organization.</w:t>
      </w:r>
    </w:p>
    <w:p w14:paraId="6A786A6A">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Any activity within the foregoing scope that is subject to approval under applicable laws or regulations shall be conducted only after such approval has been obtained in accordance with law.</w:t>
      </w:r>
    </w:p>
    <w:p w14:paraId="62C2E315">
      <w:pPr>
        <w:pStyle w:val="3"/>
        <w:widowControl/>
      </w:pPr>
      <w:r>
        <w:t>CHAPTER III  MEMBERSHIP</w:t>
      </w:r>
    </w:p>
    <w:p w14:paraId="02E25342">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 </w:t>
      </w:r>
      <w:r>
        <w:rPr>
          <w:rFonts w:ascii="Times New Roman" w:hAnsi="Times New Roman" w:eastAsia="宋体" w:cs="Times New Roman"/>
          <w:sz w:val="24"/>
          <w:szCs w:val="24"/>
        </w:rPr>
        <w:t>Organizations and individuals may join the Organization as Members.</w:t>
      </w:r>
    </w:p>
    <w:p w14:paraId="7638F3AA">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7. </w:t>
      </w:r>
      <w:r>
        <w:rPr>
          <w:rFonts w:ascii="Times New Roman" w:hAnsi="Times New Roman" w:eastAsia="宋体" w:cs="Times New Roman"/>
          <w:sz w:val="24"/>
          <w:szCs w:val="24"/>
        </w:rPr>
        <w:t>The Organization shall draw Members broadly from the relevant fields. As a general rule, foreign Members shall account for not less than one-third of the total membership.</w:t>
      </w:r>
    </w:p>
    <w:p w14:paraId="45272E77">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An applicant that accepts these Statutes and satisfies the applicable conditions below may voluntarily apply for membership.</w:t>
      </w:r>
    </w:p>
    <w:p w14:paraId="3C620C00">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Individual Members shall:</w:t>
      </w:r>
    </w:p>
    <w:p w14:paraId="6E74297D">
      <w:pPr>
        <w:pStyle w:val="19"/>
        <w:widowControl/>
        <w:numPr>
          <w:ilvl w:val="0"/>
          <w:numId w:val="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have full capacity for civil conduct;</w:t>
      </w:r>
    </w:p>
    <w:p w14:paraId="778E85E0">
      <w:pPr>
        <w:pStyle w:val="19"/>
        <w:widowControl/>
        <w:numPr>
          <w:ilvl w:val="0"/>
          <w:numId w:val="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be professionally or occupationally engaged in a field related to the scope of activities of the Organization;</w:t>
      </w:r>
    </w:p>
    <w:p w14:paraId="739F5829">
      <w:pPr>
        <w:pStyle w:val="19"/>
        <w:widowControl/>
        <w:numPr>
          <w:ilvl w:val="0"/>
          <w:numId w:val="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be representative or recognized in the relevant field;</w:t>
      </w:r>
    </w:p>
    <w:p w14:paraId="62A4F4F5">
      <w:pPr>
        <w:pStyle w:val="19"/>
        <w:widowControl/>
        <w:numPr>
          <w:ilvl w:val="0"/>
          <w:numId w:val="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accept the Statutes and purpose of the Organization, be willing to fulfil the obligations of membership, and support and participate in relevant activities of the Organization;</w:t>
      </w:r>
    </w:p>
    <w:p w14:paraId="68CEBC5A">
      <w:pPr>
        <w:pStyle w:val="19"/>
        <w:widowControl/>
        <w:numPr>
          <w:ilvl w:val="0"/>
          <w:numId w:val="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have no record of serious legal or credit violations, serious breaches of research integrity, or serious professional misconduct.</w:t>
      </w:r>
    </w:p>
    <w:p w14:paraId="23D88BF5">
      <w:pPr>
        <w:pStyle w:val="19"/>
        <w:widowControl/>
        <w:rPr>
          <w:rFonts w:ascii="Times New Roman" w:hAnsi="Times New Roman" w:eastAsia="宋体" w:cs="Times New Roman"/>
          <w:sz w:val="24"/>
          <w:szCs w:val="24"/>
        </w:rPr>
      </w:pPr>
      <w:r>
        <w:rPr>
          <w:rFonts w:ascii="Times New Roman" w:hAnsi="Times New Roman" w:eastAsia="宋体" w:cs="Times New Roman"/>
          <w:b w:val="0"/>
          <w:sz w:val="24"/>
          <w:szCs w:val="24"/>
        </w:rPr>
        <w:t>Institutional Members shall:</w:t>
      </w:r>
    </w:p>
    <w:p w14:paraId="7BE6D7C0">
      <w:pPr>
        <w:pStyle w:val="19"/>
        <w:widowControl/>
        <w:numPr>
          <w:ilvl w:val="0"/>
          <w:numId w:val="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be lawfully established in the country or region of their registered office;</w:t>
      </w:r>
    </w:p>
    <w:p w14:paraId="1B37D61F">
      <w:pPr>
        <w:pStyle w:val="19"/>
        <w:widowControl/>
        <w:numPr>
          <w:ilvl w:val="0"/>
          <w:numId w:val="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have a scope of activities related to that of the Organization;</w:t>
      </w:r>
    </w:p>
    <w:p w14:paraId="6BB9EDE5">
      <w:pPr>
        <w:pStyle w:val="19"/>
        <w:widowControl/>
        <w:numPr>
          <w:ilvl w:val="0"/>
          <w:numId w:val="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be representative or recognized in the relevant field;</w:t>
      </w:r>
    </w:p>
    <w:p w14:paraId="2A95B9C7">
      <w:pPr>
        <w:pStyle w:val="19"/>
        <w:widowControl/>
        <w:numPr>
          <w:ilvl w:val="0"/>
          <w:numId w:val="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accept the Statutes and purpose of the Organization, be willing to fulfil the obligations of membership, and support and participate in relevant activities of the Organization;</w:t>
      </w:r>
    </w:p>
    <w:p w14:paraId="67F2AC8B">
      <w:pPr>
        <w:pStyle w:val="19"/>
        <w:widowControl/>
        <w:numPr>
          <w:ilvl w:val="0"/>
          <w:numId w:val="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have no record of serious legal or credit violations, serious breaches of research integrity, or serious professional misconduct.</w:t>
      </w:r>
    </w:p>
    <w:p w14:paraId="47C801E0">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8. </w:t>
      </w:r>
      <w:r>
        <w:rPr>
          <w:rFonts w:ascii="Times New Roman" w:hAnsi="Times New Roman" w:eastAsia="宋体" w:cs="Times New Roman"/>
          <w:sz w:val="24"/>
          <w:szCs w:val="24"/>
        </w:rPr>
        <w:t>Admission to membership shall follow the procedure below:</w:t>
      </w:r>
    </w:p>
    <w:p w14:paraId="22FF070B">
      <w:pPr>
        <w:pStyle w:val="19"/>
        <w:widowControl/>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submission of a membership application and relevant supporting documents;</w:t>
      </w:r>
    </w:p>
    <w:p w14:paraId="6532743B">
      <w:pPr>
        <w:pStyle w:val="19"/>
        <w:widowControl/>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preliminary review by the Secretariat;</w:t>
      </w:r>
    </w:p>
    <w:p w14:paraId="150FAC47">
      <w:pPr>
        <w:pStyle w:val="19"/>
        <w:widowControl/>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consideration and approval by the Board of Directors;</w:t>
      </w:r>
    </w:p>
    <w:p w14:paraId="0FF7F7D4">
      <w:pPr>
        <w:pStyle w:val="19"/>
        <w:widowControl/>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issuance of a membership certificate by the Board of Directors and public announcement of the admission.</w:t>
      </w:r>
    </w:p>
    <w:p w14:paraId="644240F5">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9. </w:t>
      </w:r>
      <w:r>
        <w:rPr>
          <w:rFonts w:ascii="Times New Roman" w:hAnsi="Times New Roman" w:eastAsia="宋体" w:cs="Times New Roman"/>
          <w:sz w:val="24"/>
          <w:szCs w:val="24"/>
        </w:rPr>
        <w:t>Members shall have the following rights:</w:t>
      </w:r>
    </w:p>
    <w:p w14:paraId="4B1674A1">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right to elect, to stand for election and to vote;</w:t>
      </w:r>
    </w:p>
    <w:p w14:paraId="6F0C0E91">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right to be informed about, make recommendations concerning, and supervise the work of the Organization;</w:t>
      </w:r>
    </w:p>
    <w:p w14:paraId="07B77CEF">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priority in participating in activities of the Organization and receiving its services;</w:t>
      </w:r>
    </w:p>
    <w:p w14:paraId="3CE84ADA">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priority in participating in international conferences, seminars, training programmes, summer schools, exchanges for young scientists, expert visits and other activities organized by the Organization;</w:t>
      </w:r>
    </w:p>
    <w:p w14:paraId="0AE9A414">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priority in participating in open-access and shared-use initiatives for nuclear research infrastructure, facility user programmes, joint research projects, cross-facility experiments, exchange of results, capacity-building and expert-roster development promoted by the Organization;</w:t>
      </w:r>
    </w:p>
    <w:p w14:paraId="52412688">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access, in accordance with applicable laws and regulations, to information on facility sharing, experience in facility construction and operation, standards and guidelines, advisory and training services, and international cooperation services provided by the Organization;</w:t>
      </w:r>
    </w:p>
    <w:p w14:paraId="01796F6B">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priority in using the platform of the Organization for research cooperation, presentation of results, publication of needs and partner matching;</w:t>
      </w:r>
    </w:p>
    <w:p w14:paraId="59ACFF32">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freedom to withdraw from membership;</w:t>
      </w:r>
    </w:p>
    <w:p w14:paraId="35DE7B37">
      <w:pPr>
        <w:pStyle w:val="19"/>
        <w:widowControl/>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other rights provided in these Statutes and the Membership Rules of the Organization.</w:t>
      </w:r>
    </w:p>
    <w:p w14:paraId="69E9E99A">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10. </w:t>
      </w:r>
      <w:r>
        <w:rPr>
          <w:rFonts w:ascii="Times New Roman" w:hAnsi="Times New Roman" w:eastAsia="宋体" w:cs="Times New Roman"/>
          <w:sz w:val="24"/>
          <w:szCs w:val="24"/>
        </w:rPr>
        <w:t>Members shall have the following obligations:</w:t>
      </w:r>
    </w:p>
    <w:p w14:paraId="3836409A">
      <w:pPr>
        <w:pStyle w:val="19"/>
        <w:widowControl/>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these Statutes and the rules and policies of the Organization;</w:t>
      </w:r>
    </w:p>
    <w:p w14:paraId="342BFCC3">
      <w:pPr>
        <w:pStyle w:val="19"/>
        <w:widowControl/>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implement the resolutions of the Organization;</w:t>
      </w:r>
    </w:p>
    <w:p w14:paraId="65295AAB">
      <w:pPr>
        <w:pStyle w:val="19"/>
        <w:widowControl/>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safeguard the lawful rights and interests of the Organization;</w:t>
      </w:r>
    </w:p>
    <w:p w14:paraId="22CA2724">
      <w:pPr>
        <w:pStyle w:val="19"/>
        <w:widowControl/>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pay membership dues in accordance with the rules of the Organization;</w:t>
      </w:r>
    </w:p>
    <w:p w14:paraId="07E8B088">
      <w:pPr>
        <w:pStyle w:val="19"/>
        <w:widowControl/>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report relevant matters to, and provide relevant information to, the Organization;</w:t>
      </w:r>
    </w:p>
    <w:p w14:paraId="3073C3C8">
      <w:pPr>
        <w:pStyle w:val="19"/>
        <w:widowControl/>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disclose confidential information of the Organization, except as otherwise required by laws or regulations;</w:t>
      </w:r>
    </w:p>
    <w:p w14:paraId="4732BF77">
      <w:pPr>
        <w:pStyle w:val="19"/>
        <w:widowControl/>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the policies of the Organization concerning research integrity, data management, intellectual property, confidentiality and conflicts of interest.</w:t>
      </w:r>
    </w:p>
    <w:p w14:paraId="09089D8E">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11. </w:t>
      </w:r>
      <w:r>
        <w:rPr>
          <w:rFonts w:ascii="Times New Roman" w:hAnsi="Times New Roman" w:eastAsia="宋体" w:cs="Times New Roman"/>
          <w:sz w:val="24"/>
          <w:szCs w:val="24"/>
        </w:rPr>
        <w:t>Subject to a resolution of the Board of Directors, the Organization may impose any of the following measures on a Member that violates laws, regulations or these Statutes:</w:t>
      </w:r>
    </w:p>
    <w:p w14:paraId="015DC518">
      <w:pPr>
        <w:pStyle w:val="19"/>
        <w:widowControl/>
        <w:numPr>
          <w:ilvl w:val="0"/>
          <w:numId w:val="13"/>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 warning;</w:t>
      </w:r>
    </w:p>
    <w:p w14:paraId="37094656">
      <w:pPr>
        <w:pStyle w:val="19"/>
        <w:widowControl/>
        <w:numPr>
          <w:ilvl w:val="0"/>
          <w:numId w:val="13"/>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suspension of membership rights;</w:t>
      </w:r>
    </w:p>
    <w:p w14:paraId="5216CE5F">
      <w:pPr>
        <w:pStyle w:val="19"/>
        <w:widowControl/>
        <w:numPr>
          <w:ilvl w:val="0"/>
          <w:numId w:val="13"/>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expulsion from membership;</w:t>
      </w:r>
    </w:p>
    <w:p w14:paraId="44D2A37F">
      <w:pPr>
        <w:pStyle w:val="19"/>
        <w:widowControl/>
        <w:numPr>
          <w:ilvl w:val="0"/>
          <w:numId w:val="13"/>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other measures provided in the Membership Rules.</w:t>
      </w:r>
    </w:p>
    <w:p w14:paraId="27C63B47">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12. </w:t>
      </w:r>
      <w:r>
        <w:rPr>
          <w:rFonts w:ascii="Times New Roman" w:hAnsi="Times New Roman" w:eastAsia="宋体" w:cs="Times New Roman"/>
          <w:sz w:val="24"/>
          <w:szCs w:val="24"/>
        </w:rPr>
        <w:t>A Member wishing to withdraw shall notify the Organization in writing.</w:t>
      </w:r>
    </w:p>
    <w:p w14:paraId="6A1CB3BA">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13. </w:t>
      </w:r>
      <w:r>
        <w:rPr>
          <w:rFonts w:ascii="Times New Roman" w:hAnsi="Times New Roman" w:eastAsia="宋体" w:cs="Times New Roman"/>
          <w:sz w:val="24"/>
          <w:szCs w:val="24"/>
        </w:rPr>
        <w:t>A Member shall lose membership upon confirmation by the Board of Directors if the Member:</w:t>
      </w:r>
    </w:p>
    <w:p w14:paraId="5533E426">
      <w:pPr>
        <w:pStyle w:val="19"/>
        <w:widowControl/>
        <w:numPr>
          <w:ilvl w:val="0"/>
          <w:numId w:val="1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 longer satisfies the conditions for membership;</w:t>
      </w:r>
    </w:p>
    <w:p w14:paraId="09B1A04F">
      <w:pPr>
        <w:pStyle w:val="19"/>
        <w:widowControl/>
        <w:numPr>
          <w:ilvl w:val="0"/>
          <w:numId w:val="1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fails, for two years, to participate in activities of the Organization as required;</w:t>
      </w:r>
    </w:p>
    <w:p w14:paraId="79F599AE">
      <w:pPr>
        <w:pStyle w:val="19"/>
        <w:widowControl/>
        <w:numPr>
          <w:ilvl w:val="0"/>
          <w:numId w:val="1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fails, for two years, to pay membership dues as required;</w:t>
      </w:r>
    </w:p>
    <w:p w14:paraId="179A0AF7">
      <w:pPr>
        <w:pStyle w:val="19"/>
        <w:widowControl/>
        <w:numPr>
          <w:ilvl w:val="0"/>
          <w:numId w:val="1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seriously violates these Statutes or the governance rules of the Organization;</w:t>
      </w:r>
    </w:p>
    <w:p w14:paraId="16AA5AE1">
      <w:pPr>
        <w:pStyle w:val="19"/>
        <w:widowControl/>
        <w:numPr>
          <w:ilvl w:val="0"/>
          <w:numId w:val="1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falls within any other circumstance prescribed by laws, regulations or the Membership Rules.</w:t>
      </w:r>
    </w:p>
    <w:p w14:paraId="3356C846">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14. </w:t>
      </w:r>
      <w:r>
        <w:rPr>
          <w:rFonts w:ascii="Times New Roman" w:hAnsi="Times New Roman" w:eastAsia="宋体" w:cs="Times New Roman"/>
          <w:sz w:val="24"/>
          <w:szCs w:val="24"/>
        </w:rPr>
        <w:t>Where a Member withdraws, is expelled, or is confirmed to have lost membership under Article 13, notice shall be given to the membership of the Organization, and all corresponding positions, rights and obligations of that Member within the Organization shall cease.</w:t>
      </w:r>
    </w:p>
    <w:p w14:paraId="5D615275">
      <w:pPr>
        <w:pStyle w:val="3"/>
        <w:widowControl/>
      </w:pPr>
      <w:r>
        <w:t>CHAPTER IV  ORGANIZATIONAL STRUCTURE</w:t>
      </w:r>
    </w:p>
    <w:p w14:paraId="5DDB232B">
      <w:pPr>
        <w:pStyle w:val="4"/>
        <w:widowControl/>
      </w:pPr>
      <w:r>
        <w:t>SECTION 1  GENERAL ASSEMBLY</w:t>
      </w:r>
    </w:p>
    <w:p w14:paraId="1FB641B8">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15. </w:t>
      </w:r>
      <w:r>
        <w:rPr>
          <w:rFonts w:ascii="Times New Roman" w:hAnsi="Times New Roman" w:eastAsia="宋体" w:cs="Times New Roman"/>
          <w:sz w:val="24"/>
          <w:szCs w:val="24"/>
        </w:rPr>
        <w:t>The General Assembly shall be the supreme governing body of the Organization and shall exercise the following powers:</w:t>
      </w:r>
    </w:p>
    <w:p w14:paraId="5336126D">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adopt and amend the Statutes;</w:t>
      </w:r>
    </w:p>
    <w:p w14:paraId="4FB597B1">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major matters, including the objectives and development plans of the Organization;</w:t>
      </w:r>
    </w:p>
    <w:p w14:paraId="7953C820">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adopt and amend procedures for the selection of Directors, Officers and Supervisors, provided that the procedures for selecting Officers shall be filed with the competent business authority;</w:t>
      </w:r>
    </w:p>
    <w:p w14:paraId="68F74CCD">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elect and remove Directors, Supervisors and Officers;</w:t>
      </w:r>
    </w:p>
    <w:p w14:paraId="2B3E4836">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adopt and amend the standards for membership dues;</w:t>
      </w:r>
    </w:p>
    <w:p w14:paraId="66F67873">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consider the work report and financial report of the Board of Directors;</w:t>
      </w:r>
    </w:p>
    <w:p w14:paraId="6A67D7ED">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consider the work report of the Supervisors;</w:t>
      </w:r>
    </w:p>
    <w:p w14:paraId="3748B628">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any change to the name of the Organization;</w:t>
      </w:r>
    </w:p>
    <w:p w14:paraId="58FE39E8">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termination of the Organization;</w:t>
      </w:r>
    </w:p>
    <w:p w14:paraId="0789BB90">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the procedures for creating honorary positions;</w:t>
      </w:r>
    </w:p>
    <w:p w14:paraId="46819136">
      <w:pPr>
        <w:pStyle w:val="19"/>
        <w:widowControl/>
        <w:numPr>
          <w:ilvl w:val="0"/>
          <w:numId w:val="1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other major matters.</w:t>
      </w:r>
    </w:p>
    <w:p w14:paraId="77CE8F70">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16. </w:t>
      </w:r>
      <w:r>
        <w:rPr>
          <w:rFonts w:ascii="Times New Roman" w:hAnsi="Times New Roman" w:eastAsia="宋体" w:cs="Times New Roman"/>
          <w:sz w:val="24"/>
          <w:szCs w:val="24"/>
        </w:rPr>
        <w:t>Each term of the General Assembly shall be five years, and the General Assembly shall meet at least once during each term. Where special circumstances require an early or postponed change of term, the matter shall be approved by at least two-thirds of all Directors and submitted to the competent business authority for review. Any early or postponed change of term shall not exceed one year.</w:t>
      </w:r>
    </w:p>
    <w:p w14:paraId="1A066A0E">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agenda of a General Assembly meeting shall be notified to Members at least 30 days in advance.</w:t>
      </w:r>
    </w:p>
    <w:p w14:paraId="22EEA95E">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 General Assembly meeting for a change of term may be held in person or through a combination of in-person and video participation. Other meetings of the General Assembly may be held in person, by correspondence, or through a combination of in-person and remote participation. Where voting is conducted through a remote method other than video participation, the voting method and the deadline for voting shall be specified.</w:t>
      </w:r>
    </w:p>
    <w:p w14:paraId="6F0C2D0D">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17. </w:t>
      </w:r>
      <w:r>
        <w:rPr>
          <w:rFonts w:ascii="Times New Roman" w:hAnsi="Times New Roman" w:eastAsia="宋体" w:cs="Times New Roman"/>
          <w:sz w:val="24"/>
          <w:szCs w:val="24"/>
        </w:rPr>
        <w:t>An extraordinary meeting of the General Assembly shall be convened upon a proposal of the Board of Directors or at least one-fifth of the Members.</w:t>
      </w:r>
    </w:p>
    <w:p w14:paraId="56F286D7">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An extraordinary meeting shall be convened and chaired by the Chair. If the Chair is unable to convene and chair the meeting, a Vice Chair responsible for organizational affairs shall do so. If that Vice Chair is unable to do so, the Board of Directors shall designate one Officer of the Organization to convene and chair the meeting.</w:t>
      </w:r>
    </w:p>
    <w:p w14:paraId="638673FC">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18. </w:t>
      </w:r>
      <w:r>
        <w:rPr>
          <w:rFonts w:ascii="Times New Roman" w:hAnsi="Times New Roman" w:eastAsia="宋体" w:cs="Times New Roman"/>
          <w:sz w:val="24"/>
          <w:szCs w:val="24"/>
        </w:rPr>
        <w:t>A General Assembly meeting may be convened only when at least two-thirds of the Members participate. Resolutions shall take effect only if the following voting requirements are satisfied:</w:t>
      </w:r>
    </w:p>
    <w:p w14:paraId="650B62AB">
      <w:pPr>
        <w:pStyle w:val="19"/>
        <w:widowControl/>
        <w:numPr>
          <w:ilvl w:val="0"/>
          <w:numId w:val="1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adoption or amendment of the Statutes requires the affirmative vote of at least two-thirds of the Members participating in the meeting;</w:t>
      </w:r>
    </w:p>
    <w:p w14:paraId="15A4C62B">
      <w:pPr>
        <w:pStyle w:val="19"/>
        <w:widowControl/>
        <w:numPr>
          <w:ilvl w:val="0"/>
          <w:numId w:val="1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 change to the name of the Organization or termination of the Organization requires the affirmative vote of at least two-thirds of the Members participating in the meeting;</w:t>
      </w:r>
    </w:p>
    <w:p w14:paraId="5388973D">
      <w:pPr>
        <w:pStyle w:val="19"/>
        <w:widowControl/>
        <w:numPr>
          <w:ilvl w:val="0"/>
          <w:numId w:val="1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Directors and Supervisors shall be elected according to the number of votes received. In an uncontested election, an elected candidate shall receive not less than one-half of the votes of the Members participating in the meeting; the required proportion for election in a contested election shall be prescribed by the Election Procedures;</w:t>
      </w:r>
    </w:p>
    <w:p w14:paraId="4EAFA566">
      <w:pPr>
        <w:pStyle w:val="19"/>
        <w:widowControl/>
        <w:numPr>
          <w:ilvl w:val="0"/>
          <w:numId w:val="1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removal of a Director or Supervisor requires the affirmative vote of at least one-half of the Members participating in the meeting;</w:t>
      </w:r>
    </w:p>
    <w:p w14:paraId="53F723CF">
      <w:pPr>
        <w:pStyle w:val="19"/>
        <w:widowControl/>
        <w:numPr>
          <w:ilvl w:val="0"/>
          <w:numId w:val="1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adoption or amendment of standards for membership dues requires approval by secret ballot of at least one-half of the Members participating in the meeting;</w:t>
      </w:r>
    </w:p>
    <w:p w14:paraId="23AD2688">
      <w:pPr>
        <w:pStyle w:val="19"/>
        <w:widowControl/>
        <w:numPr>
          <w:ilvl w:val="0"/>
          <w:numId w:val="1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any other resolution requires the affirmative vote of at least one-half of the Members participating in the meeting.</w:t>
      </w:r>
    </w:p>
    <w:p w14:paraId="22D1B7BB">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Voting rights in the Organization shall be exercised on the basis of one vote per Member.</w:t>
      </w:r>
    </w:p>
    <w:p w14:paraId="01255B2F">
      <w:pPr>
        <w:pStyle w:val="4"/>
        <w:widowControl/>
      </w:pPr>
      <w:r>
        <w:t>SECTION 2  BOARD OF DIRECTORS</w:t>
      </w:r>
    </w:p>
    <w:p w14:paraId="551233C0">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19. </w:t>
      </w:r>
      <w:r>
        <w:rPr>
          <w:rFonts w:ascii="Times New Roman" w:hAnsi="Times New Roman" w:eastAsia="宋体" w:cs="Times New Roman"/>
          <w:sz w:val="24"/>
          <w:szCs w:val="24"/>
        </w:rPr>
        <w:t>The Board of Directors shall be the executive body of the General Assembly. It shall be elected by the General Assembly from among the Members, shall direct the work of the Organization when the General Assembly is not in session, and shall be accountable to the General Assembly.</w:t>
      </w:r>
    </w:p>
    <w:p w14:paraId="4C5247C9">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As a general rule, the number of Directors shall not exceed one-third of the total number of Members.</w:t>
      </w:r>
    </w:p>
    <w:p w14:paraId="660F55A0">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Directors shall not receive remuneration from the Organization, except where a Director is an employee of the Organization under an employment contract.</w:t>
      </w:r>
    </w:p>
    <w:p w14:paraId="42C2E781">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20. </w:t>
      </w:r>
      <w:r>
        <w:rPr>
          <w:rFonts w:ascii="Times New Roman" w:hAnsi="Times New Roman" w:eastAsia="宋体" w:cs="Times New Roman"/>
          <w:sz w:val="24"/>
          <w:szCs w:val="24"/>
        </w:rPr>
        <w:t>A Director shall satisfy the following conditions:</w:t>
      </w:r>
    </w:p>
    <w:p w14:paraId="2C6FA2B0">
      <w:pPr>
        <w:pStyle w:val="19"/>
        <w:widowControl/>
        <w:numPr>
          <w:ilvl w:val="0"/>
          <w:numId w:val="1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laws, regulations and these Statutes;</w:t>
      </w:r>
    </w:p>
    <w:p w14:paraId="07E6B297">
      <w:pPr>
        <w:pStyle w:val="19"/>
        <w:widowControl/>
        <w:numPr>
          <w:ilvl w:val="0"/>
          <w:numId w:val="1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be representative or recognized in the fields in which the Organization operates;</w:t>
      </w:r>
    </w:p>
    <w:p w14:paraId="6FC2B065">
      <w:pPr>
        <w:pStyle w:val="19"/>
        <w:widowControl/>
        <w:numPr>
          <w:ilvl w:val="0"/>
          <w:numId w:val="1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possess the professional competence and working conditions necessary to perform the duties of a Director;</w:t>
      </w:r>
    </w:p>
    <w:p w14:paraId="2B9CFB8E">
      <w:pPr>
        <w:pStyle w:val="19"/>
        <w:widowControl/>
        <w:numPr>
          <w:ilvl w:val="0"/>
          <w:numId w:val="1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have no record of serious legal or credit violations, serious breaches of research integrity, or serious professional misconduct.</w:t>
      </w:r>
    </w:p>
    <w:p w14:paraId="6F1AE91E">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21. </w:t>
      </w:r>
      <w:r>
        <w:rPr>
          <w:rFonts w:ascii="Times New Roman" w:hAnsi="Times New Roman" w:eastAsia="宋体" w:cs="Times New Roman"/>
          <w:sz w:val="24"/>
          <w:szCs w:val="24"/>
        </w:rPr>
        <w:t>Directors shall be elected and removed in accordance with the following provisions:</w:t>
      </w:r>
    </w:p>
    <w:p w14:paraId="572B220A">
      <w:pPr>
        <w:pStyle w:val="19"/>
        <w:widowControl/>
        <w:numPr>
          <w:ilvl w:val="0"/>
          <w:numId w:val="1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first Board of Directors shall be elected by the General Assembly from candidates jointly nominated through consultation by the founders and the Members at the time the Organization applies for establishment, subject to the consent of the competent business authority;</w:t>
      </w:r>
    </w:p>
    <w:p w14:paraId="5E7B41C1">
      <w:pPr>
        <w:pStyle w:val="19"/>
        <w:widowControl/>
        <w:numPr>
          <w:ilvl w:val="0"/>
          <w:numId w:val="1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for a change of term of the Board of Directors, the Board shall, three months before the General Assembly meeting, nominate and establish an Election Committee composed of representatives of the Officers, Directors, Supervisors and Members. Under the leadership of the Board, the Election Committee shall be responsible for the election arrangements for the new term. The Election Committee shall formulate the election plan, consult on and nominate candidates for Director and Officer, and submit the plan and nominations to the competent business authority for review two months before the General Assembly meeting. Where candidates for Officer are nominated for a mid-term adjustment, the candidates shall be submitted to the competent business authority for review and consent before an election meeting is convened. The General Assembly shall then be convened in accordance with these Statutes to elect or remove Directors;</w:t>
      </w:r>
    </w:p>
    <w:p w14:paraId="5B4F6B2C">
      <w:pPr>
        <w:pStyle w:val="19"/>
        <w:widowControl/>
        <w:numPr>
          <w:ilvl w:val="0"/>
          <w:numId w:val="1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where it is genuinely necessary to add or remove certain Directors while the General Assembly is not in session, the matter may be submitted to the Board of Directors for consideration; the number of Directors added or removed during a term shall not exceed one-fifth of the original number of Directors.</w:t>
      </w:r>
    </w:p>
    <w:p w14:paraId="49C7C8B7">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22. </w:t>
      </w:r>
      <w:r>
        <w:rPr>
          <w:rFonts w:ascii="Times New Roman" w:hAnsi="Times New Roman" w:eastAsia="宋体" w:cs="Times New Roman"/>
          <w:sz w:val="24"/>
          <w:szCs w:val="24"/>
        </w:rPr>
        <w:t>An Institutional Member elected to the Board of Directors shall designate an individual representative to perform the duties of a Director. If the Institutional Member changes its representative, it shall notify the Organization in writing.</w:t>
      </w:r>
    </w:p>
    <w:p w14:paraId="542B11F9">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23. </w:t>
      </w:r>
      <w:r>
        <w:rPr>
          <w:rFonts w:ascii="Times New Roman" w:hAnsi="Times New Roman" w:eastAsia="宋体" w:cs="Times New Roman"/>
          <w:sz w:val="24"/>
          <w:szCs w:val="24"/>
        </w:rPr>
        <w:t>A Director shall have the following rights:</w:t>
      </w:r>
    </w:p>
    <w:p w14:paraId="5C70495B">
      <w:pPr>
        <w:pStyle w:val="19"/>
        <w:widowControl/>
        <w:numPr>
          <w:ilvl w:val="0"/>
          <w:numId w:val="1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right to elect, to stand for election and to vote within the Board of Directors;</w:t>
      </w:r>
    </w:p>
    <w:p w14:paraId="31B8A771">
      <w:pPr>
        <w:pStyle w:val="19"/>
        <w:widowControl/>
        <w:numPr>
          <w:ilvl w:val="0"/>
          <w:numId w:val="1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right to be informed about, make recommendations concerning, and supervise the work, finances and major matters of the Organization;</w:t>
      </w:r>
    </w:p>
    <w:p w14:paraId="66CF03ED">
      <w:pPr>
        <w:pStyle w:val="19"/>
        <w:widowControl/>
        <w:numPr>
          <w:ilvl w:val="0"/>
          <w:numId w:val="1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right to participate in formulating major internal governance rules and to submit comments and recommendations;</w:t>
      </w:r>
    </w:p>
    <w:p w14:paraId="6F283BA9">
      <w:pPr>
        <w:pStyle w:val="19"/>
        <w:widowControl/>
        <w:numPr>
          <w:ilvl w:val="0"/>
          <w:numId w:val="1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right to propose to the Chair or the Board of Directors that an extraordinary meeting be convened;</w:t>
      </w:r>
    </w:p>
    <w:p w14:paraId="077A9717">
      <w:pPr>
        <w:pStyle w:val="19"/>
        <w:widowControl/>
        <w:numPr>
          <w:ilvl w:val="0"/>
          <w:numId w:val="1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other rights provided in these Statutes and the Rules of Procedure of the Board of Directors.</w:t>
      </w:r>
    </w:p>
    <w:p w14:paraId="45695737">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24. </w:t>
      </w:r>
      <w:r>
        <w:rPr>
          <w:rFonts w:ascii="Times New Roman" w:hAnsi="Times New Roman" w:eastAsia="宋体" w:cs="Times New Roman"/>
          <w:sz w:val="24"/>
          <w:szCs w:val="24"/>
        </w:rPr>
        <w:t>A Director shall comply with laws, regulations and these Statutes, faithfully and diligently perform the duties of office, and fulfil the following obligations:</w:t>
      </w:r>
    </w:p>
    <w:p w14:paraId="6BE7D996">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attend meetings of the Board of Directors and implement its resolutions;</w:t>
      </w:r>
    </w:p>
    <w:p w14:paraId="7C38FCDA">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exercise lawfully conferred powers prudently, carefully and diligently, and exercise the degree of reasonable care ordinarily expected of a Director in performing duties in the best interests of the Organization;</w:t>
      </w:r>
    </w:p>
    <w:p w14:paraId="6E94E1FC">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exercise powers beyond the scope of assigned duties;</w:t>
      </w:r>
    </w:p>
    <w:p w14:paraId="338A5E81">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use the office of Director to seek improper benefits;</w:t>
      </w:r>
    </w:p>
    <w:p w14:paraId="6E155986">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engage in any activity that harms the lawful interests of the Organization;</w:t>
      </w:r>
    </w:p>
    <w:p w14:paraId="0EE80ED4">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disclose confidential information relating to the Organization obtained during the term of office, except as otherwise required by laws or regulations;</w:t>
      </w:r>
    </w:p>
    <w:p w14:paraId="3C6330AB">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accept lawful supervision and reasonable recommendations from the Supervisors concerning the performance of duties;</w:t>
      </w:r>
    </w:p>
    <w:p w14:paraId="39BF2A9A">
      <w:pPr>
        <w:pStyle w:val="19"/>
        <w:widowControl/>
        <w:numPr>
          <w:ilvl w:val="0"/>
          <w:numId w:val="2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fulfil other obligations provided in these Statutes and the Rules of Procedure of the Board of Directors.</w:t>
      </w:r>
    </w:p>
    <w:p w14:paraId="12F57A2C">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25. </w:t>
      </w:r>
      <w:r>
        <w:rPr>
          <w:rFonts w:ascii="Times New Roman" w:hAnsi="Times New Roman" w:eastAsia="宋体" w:cs="Times New Roman"/>
          <w:sz w:val="24"/>
          <w:szCs w:val="24"/>
        </w:rPr>
        <w:t>The Board of Directors shall exercise the following powers:</w:t>
      </w:r>
    </w:p>
    <w:p w14:paraId="599B386D">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implement the resolutions of the General Assembly;</w:t>
      </w:r>
    </w:p>
    <w:p w14:paraId="4EBEA6A3">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elect and remove the Chair and Vice Chairs, consider matters relating to a change of legal representative, and decide on the appointment and removal of the Secretary-General;</w:t>
      </w:r>
    </w:p>
    <w:p w14:paraId="7186C3A7">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report on the work and financial position of the Organization to the General Assembly;</w:t>
      </w:r>
    </w:p>
    <w:p w14:paraId="2D97CD78">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consider the annual work report, work plan, financial budget and final accounts;</w:t>
      </w:r>
    </w:p>
    <w:p w14:paraId="14240F6E">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prepare for meetings of the General Assembly and be responsible for elections for a change of term;</w:t>
      </w:r>
    </w:p>
    <w:p w14:paraId="486C49D9">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adopt major internal governance rules;</w:t>
      </w:r>
    </w:p>
    <w:p w14:paraId="4A33BE77">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the establishment, alteration and termination of branches, representative offices, administrative bodies and other subordinate bodies, and direct the work of such bodies;</w:t>
      </w:r>
    </w:p>
    <w:p w14:paraId="06D70ADC">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persons to hold honorary positions;</w:t>
      </w:r>
    </w:p>
    <w:p w14:paraId="45A7EC9E">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the appointment of Deputy Secretaries-General and the principal officers of subordinate bodies;</w:t>
      </w:r>
    </w:p>
    <w:p w14:paraId="1CB76283">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staff performance-assessment rules and remuneration-management rules;</w:t>
      </w:r>
    </w:p>
    <w:p w14:paraId="0B3A3C76">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consider changes relating to activity funds;</w:t>
      </w:r>
    </w:p>
    <w:p w14:paraId="3CDB9E15">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consider changes to the registered office and other matters that do not require an amendment to the Statutes;</w:t>
      </w:r>
    </w:p>
    <w:p w14:paraId="643F0D33">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propose termination of the Organization;</w:t>
      </w:r>
    </w:p>
    <w:p w14:paraId="3EB1DE14">
      <w:pPr>
        <w:pStyle w:val="19"/>
        <w:widowControl/>
        <w:numPr>
          <w:ilvl w:val="0"/>
          <w:numId w:val="2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other major matters.</w:t>
      </w:r>
    </w:p>
    <w:p w14:paraId="276BE080">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26. </w:t>
      </w:r>
      <w:r>
        <w:rPr>
          <w:rFonts w:ascii="Times New Roman" w:hAnsi="Times New Roman" w:eastAsia="宋体" w:cs="Times New Roman"/>
          <w:sz w:val="24"/>
          <w:szCs w:val="24"/>
        </w:rPr>
        <w:t>The term of the Board of Directors shall be five years and shall coincide with the term of the General Assembly.</w:t>
      </w:r>
    </w:p>
    <w:p w14:paraId="1187DCD7">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Where special circumstances require an early or postponed change of term, the matter shall be approved by at least two-thirds of all Directors. Any early or postponed change of term shall not exceed one year.</w:t>
      </w:r>
    </w:p>
    <w:p w14:paraId="3F5697A6">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27. </w:t>
      </w:r>
      <w:r>
        <w:rPr>
          <w:rFonts w:ascii="Times New Roman" w:hAnsi="Times New Roman" w:eastAsia="宋体" w:cs="Times New Roman"/>
          <w:sz w:val="24"/>
          <w:szCs w:val="24"/>
        </w:rPr>
        <w:t>A meeting of the Board of Directors may be convened only when at least two-thirds of the Directors are present. A resolution shall take effect upon approval by at least one-half of the Directors participating in the meeting.</w:t>
      </w:r>
    </w:p>
    <w:p w14:paraId="29293AC8">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Notwithstanding the preceding paragraph, a resolution on any of the following matters shall require approval by at least two-thirds of the Directors participating in the meeting:</w:t>
      </w:r>
    </w:p>
    <w:p w14:paraId="6210EF59">
      <w:pPr>
        <w:pStyle w:val="19"/>
        <w:widowControl/>
        <w:numPr>
          <w:ilvl w:val="0"/>
          <w:numId w:val="2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removal of the Chair or a Vice Chair;</w:t>
      </w:r>
    </w:p>
    <w:p w14:paraId="20CFF75F">
      <w:pPr>
        <w:pStyle w:val="19"/>
        <w:widowControl/>
        <w:numPr>
          <w:ilvl w:val="0"/>
          <w:numId w:val="2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appointment or removal of the Secretary-General;</w:t>
      </w:r>
    </w:p>
    <w:p w14:paraId="34CE2EB2">
      <w:pPr>
        <w:pStyle w:val="19"/>
        <w:widowControl/>
        <w:numPr>
          <w:ilvl w:val="0"/>
          <w:numId w:val="2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 proposal to change the name of the Organization;</w:t>
      </w:r>
    </w:p>
    <w:p w14:paraId="3AE49C16">
      <w:pPr>
        <w:pStyle w:val="19"/>
        <w:widowControl/>
        <w:numPr>
          <w:ilvl w:val="0"/>
          <w:numId w:val="2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 proposal to amend the Statutes;</w:t>
      </w:r>
    </w:p>
    <w:p w14:paraId="65C9182F">
      <w:pPr>
        <w:pStyle w:val="19"/>
        <w:widowControl/>
        <w:numPr>
          <w:ilvl w:val="0"/>
          <w:numId w:val="2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 proposal to terminate the Organization.</w:t>
      </w:r>
    </w:p>
    <w:p w14:paraId="556017BD">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28. </w:t>
      </w:r>
      <w:r>
        <w:rPr>
          <w:rFonts w:ascii="Times New Roman" w:hAnsi="Times New Roman" w:eastAsia="宋体" w:cs="Times New Roman"/>
          <w:sz w:val="24"/>
          <w:szCs w:val="24"/>
        </w:rPr>
        <w:t>A Director shall attend meetings of the Board of Directors in person. If a Director is unable to attend for a valid reason, an Institutional Member may authorize in writing an employee of that Institutional Member or another Director to attend as proxy. The proxy shall exercise the powers of the Director within the scope of the written authorization. A Director may accept only one proxy appointment for any meeting.</w:t>
      </w:r>
    </w:p>
    <w:p w14:paraId="1712E40E">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 Director who, without a valid reason, fails to attend two consecutive meetings or three meetings in total during a term shall automatically cease to be a Director.</w:t>
      </w:r>
    </w:p>
    <w:p w14:paraId="05B9EF99">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29. </w:t>
      </w:r>
      <w:r>
        <w:rPr>
          <w:rFonts w:ascii="Times New Roman" w:hAnsi="Times New Roman" w:eastAsia="宋体" w:cs="Times New Roman"/>
          <w:sz w:val="24"/>
          <w:szCs w:val="24"/>
        </w:rPr>
        <w:t>The Board of Directors shall meet at least once each year. In special circumstances, a meeting may be held by correspondence or other remote means. Except where video participation is used, a meeting held by remote means shall not decide any of the following matters:</w:t>
      </w:r>
    </w:p>
    <w:p w14:paraId="5D4838BD">
      <w:pPr>
        <w:pStyle w:val="19"/>
        <w:widowControl/>
        <w:numPr>
          <w:ilvl w:val="0"/>
          <w:numId w:val="23"/>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an adjustment to the Officers;</w:t>
      </w:r>
    </w:p>
    <w:p w14:paraId="5F4CBEF5">
      <w:pPr>
        <w:pStyle w:val="19"/>
        <w:widowControl/>
        <w:numPr>
          <w:ilvl w:val="0"/>
          <w:numId w:val="23"/>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the appointment or removal of the Secretary-General;</w:t>
      </w:r>
    </w:p>
    <w:p w14:paraId="47984C96">
      <w:pPr>
        <w:pStyle w:val="19"/>
        <w:widowControl/>
        <w:numPr>
          <w:ilvl w:val="0"/>
          <w:numId w:val="23"/>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 proposal to change the name, amend the Statutes or terminate the Organization.</w:t>
      </w:r>
    </w:p>
    <w:p w14:paraId="7FFC5F97">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30. </w:t>
      </w:r>
      <w:r>
        <w:rPr>
          <w:rFonts w:ascii="Times New Roman" w:hAnsi="Times New Roman" w:eastAsia="宋体" w:cs="Times New Roman"/>
          <w:sz w:val="24"/>
          <w:szCs w:val="24"/>
        </w:rPr>
        <w:t>An extraordinary meeting of the Board of Directors shall be convened upon a proposal of the Chair, at least one-fifth of the Directors, or a Supervisor.</w:t>
      </w:r>
    </w:p>
    <w:p w14:paraId="7108DA84">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An extraordinary meeting shall be convened and chaired by the Chair. If the Chair is unable to convene and chair the meeting, the proposing Directors or Supervisor shall designate one Officer of the Organization to convene and chair the meeting.</w:t>
      </w:r>
    </w:p>
    <w:p w14:paraId="055F0EE9">
      <w:pPr>
        <w:pStyle w:val="4"/>
        <w:widowControl/>
      </w:pPr>
      <w:r>
        <w:t>SECTION 3  OFFICERS</w:t>
      </w:r>
    </w:p>
    <w:p w14:paraId="717687C9">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31. </w:t>
      </w:r>
      <w:r>
        <w:rPr>
          <w:rFonts w:ascii="Times New Roman" w:hAnsi="Times New Roman" w:eastAsia="宋体" w:cs="Times New Roman"/>
          <w:sz w:val="24"/>
          <w:szCs w:val="24"/>
        </w:rPr>
        <w:t>The Officers of the Organization shall comprise one Chair, several Vice Chairs and one Secretary-General. The Officers shall include both Chinese and foreign nationals.</w:t>
      </w:r>
    </w:p>
    <w:p w14:paraId="6ECD43AA">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32. </w:t>
      </w:r>
      <w:r>
        <w:rPr>
          <w:rFonts w:ascii="Times New Roman" w:hAnsi="Times New Roman" w:eastAsia="宋体" w:cs="Times New Roman"/>
          <w:sz w:val="24"/>
          <w:szCs w:val="24"/>
        </w:rPr>
        <w:t>An Officer shall satisfy the following conditions:</w:t>
      </w:r>
    </w:p>
    <w:p w14:paraId="22A37CDE">
      <w:pPr>
        <w:pStyle w:val="19"/>
        <w:widowControl/>
        <w:numPr>
          <w:ilvl w:val="0"/>
          <w:numId w:val="2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possess relevant professional knowledge, experience and competence, be familiar with the fields in which the Organization operates, and have substantial influence in those fields;</w:t>
      </w:r>
    </w:p>
    <w:p w14:paraId="666E5F76">
      <w:pPr>
        <w:pStyle w:val="19"/>
        <w:widowControl/>
        <w:numPr>
          <w:ilvl w:val="0"/>
          <w:numId w:val="2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laws and regulations and be capable of faithfully and diligently performing the duties of office;</w:t>
      </w:r>
    </w:p>
    <w:p w14:paraId="1AAB1990">
      <w:pPr>
        <w:pStyle w:val="19"/>
        <w:widowControl/>
        <w:numPr>
          <w:ilvl w:val="0"/>
          <w:numId w:val="2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be in good health and capable of performing duties normally; the Secretary-General shall serve on a full-time basis and shall be a Chinese national;</w:t>
      </w:r>
    </w:p>
    <w:p w14:paraId="28E1D64A">
      <w:pPr>
        <w:pStyle w:val="19"/>
        <w:widowControl/>
        <w:numPr>
          <w:ilvl w:val="0"/>
          <w:numId w:val="2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have full capacity for civil conduct;</w:t>
      </w:r>
    </w:p>
    <w:p w14:paraId="0838F8DB">
      <w:pPr>
        <w:pStyle w:val="19"/>
        <w:widowControl/>
        <w:numPr>
          <w:ilvl w:val="0"/>
          <w:numId w:val="2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have no record of serious legal or credit violations, serious breaches of research integrity, or serious professional misconduct;</w:t>
      </w:r>
    </w:p>
    <w:p w14:paraId="10A54134">
      <w:pPr>
        <w:pStyle w:val="19"/>
        <w:widowControl/>
        <w:numPr>
          <w:ilvl w:val="0"/>
          <w:numId w:val="2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be subject to any circumstance under Chinese laws, regulations or relevant national provisions that disqualifies the person from holding office.</w:t>
      </w:r>
    </w:p>
    <w:p w14:paraId="2BBB4457">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If an Officer ceases to satisfy the conditions for office during the term, the Officer shall be removed in accordance with the prescribed procedure.</w:t>
      </w:r>
    </w:p>
    <w:p w14:paraId="518ED531">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positions of Chair and Secretary-General shall not be held concurrently by the same person. An appointed Secretary-General shall not concurrently serve as Chair or Vice Chair.</w:t>
      </w:r>
    </w:p>
    <w:p w14:paraId="48325745">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33. </w:t>
      </w:r>
      <w:r>
        <w:rPr>
          <w:rFonts w:ascii="Times New Roman" w:hAnsi="Times New Roman" w:eastAsia="宋体" w:cs="Times New Roman"/>
          <w:sz w:val="24"/>
          <w:szCs w:val="24"/>
        </w:rPr>
        <w:t>The Chair and Vice Chairs shall be elected from among the Directors.</w:t>
      </w:r>
    </w:p>
    <w:p w14:paraId="313A886A">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Secretary-General shall be appointed and removed by the Board of Directors.</w:t>
      </w:r>
    </w:p>
    <w:p w14:paraId="4EB0C771">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Officers shall be elected by secret ballot according to the number of votes received. In an uncontested election, an elected candidate shall receive not less than one-half of the total votes cast; the required proportion for election in a contested election shall be prescribed by the Election Procedures.</w:t>
      </w:r>
    </w:p>
    <w:p w14:paraId="0C1FC1A5">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34. </w:t>
      </w:r>
      <w:r>
        <w:rPr>
          <w:rFonts w:ascii="Times New Roman" w:hAnsi="Times New Roman" w:eastAsia="宋体" w:cs="Times New Roman"/>
          <w:sz w:val="24"/>
          <w:szCs w:val="24"/>
        </w:rPr>
        <w:t>The term of office of the Officers shall be the same as that of the Board of Directors. As a general rule, a person shall not serve more than two consecutive terms in the same office. Where special circumstances require an extension of the term, the extension shall be approved by at least two-thirds of all Directors, submitted to the competent business authority for review and consent, and filed with the registration authority.</w:t>
      </w:r>
    </w:p>
    <w:p w14:paraId="412C3837">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number of consecutive terms of an appointed Secretary-General shall not be limited.</w:t>
      </w:r>
    </w:p>
    <w:p w14:paraId="7F2018D5">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35. </w:t>
      </w:r>
      <w:r>
        <w:rPr>
          <w:rFonts w:ascii="Times New Roman" w:hAnsi="Times New Roman" w:eastAsia="宋体" w:cs="Times New Roman"/>
          <w:sz w:val="24"/>
          <w:szCs w:val="24"/>
        </w:rPr>
        <w:t>The legal representative of the Organization shall be an Officer who is a Chinese national. An appointed Secretary-General shall not serve as the legal representative. The legal representative shall sign relevant important documents on behalf of the Organization.</w:t>
      </w:r>
    </w:p>
    <w:p w14:paraId="15F84E20">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legal representative of the Organization shall not concurrently serve as the legal representative of another social organization.</w:t>
      </w:r>
    </w:p>
    <w:p w14:paraId="1773C083">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36. </w:t>
      </w:r>
      <w:r>
        <w:rPr>
          <w:rFonts w:ascii="Times New Roman" w:hAnsi="Times New Roman" w:eastAsia="宋体" w:cs="Times New Roman"/>
          <w:sz w:val="24"/>
          <w:szCs w:val="24"/>
        </w:rPr>
        <w:t>Where an Officer serving as the legal representative is removed or leaves office, the Organization shall, within 20 days after deciding on a new legal representative in accordance with the prescribed procedure, submit the matter to the competent business authority for review and consent and apply to the registration authority for registration of the change.</w:t>
      </w:r>
    </w:p>
    <w:p w14:paraId="119B6FCA">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If the former legal representative refuses or is unable to cooperate in registering the change, the Organization may, on the basis of a valid resolution of the Board of Directors approving the change and with the signature of the new legal representative, apply to the registration authority for registration of the change after obtaining the consent of the competent business authority.</w:t>
      </w:r>
    </w:p>
    <w:p w14:paraId="404A07E7">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37. </w:t>
      </w:r>
      <w:r>
        <w:rPr>
          <w:rFonts w:ascii="Times New Roman" w:hAnsi="Times New Roman" w:eastAsia="宋体" w:cs="Times New Roman"/>
          <w:sz w:val="24"/>
          <w:szCs w:val="24"/>
        </w:rPr>
        <w:t>The Chair shall perform the following duties:</w:t>
      </w:r>
    </w:p>
    <w:p w14:paraId="5C04B33A">
      <w:pPr>
        <w:pStyle w:val="19"/>
        <w:widowControl/>
        <w:numPr>
          <w:ilvl w:val="0"/>
          <w:numId w:val="2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convene and chair meetings of the General Assembly and the Board of Directors;</w:t>
      </w:r>
    </w:p>
    <w:p w14:paraId="66A033A6">
      <w:pPr>
        <w:pStyle w:val="19"/>
        <w:widowControl/>
        <w:numPr>
          <w:ilvl w:val="0"/>
          <w:numId w:val="2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inspect implementation of resolutions of the General Assembly and the Board of Directors;</w:t>
      </w:r>
    </w:p>
    <w:p w14:paraId="322C16E0">
      <w:pPr>
        <w:pStyle w:val="19"/>
        <w:widowControl/>
        <w:numPr>
          <w:ilvl w:val="0"/>
          <w:numId w:val="2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report on the work of the Organization to the General Assembly and the Board of Directors;</w:t>
      </w:r>
    </w:p>
    <w:p w14:paraId="040369C2">
      <w:pPr>
        <w:pStyle w:val="19"/>
        <w:widowControl/>
        <w:numPr>
          <w:ilvl w:val="0"/>
          <w:numId w:val="2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take overall responsibility for the work of the Organization;</w:t>
      </w:r>
    </w:p>
    <w:p w14:paraId="03B36518">
      <w:pPr>
        <w:pStyle w:val="19"/>
        <w:widowControl/>
        <w:numPr>
          <w:ilvl w:val="0"/>
          <w:numId w:val="2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represent the Organization in major international exchange and cooperation activities.</w:t>
      </w:r>
    </w:p>
    <w:p w14:paraId="260DE7CD">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Chair shall report annually to the Board of Directors on the performance of duties.</w:t>
      </w:r>
    </w:p>
    <w:p w14:paraId="70602F0F">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If the Chair is unable to perform the duties of office, the Board of Directors shall designate one Vice Chair to act in that capacity. If no Vice Chair is able to perform those duties, the competent business authority may designate one Officer to act in that capacity.</w:t>
      </w:r>
    </w:p>
    <w:p w14:paraId="2FE57F3E">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38. </w:t>
      </w:r>
      <w:r>
        <w:rPr>
          <w:rFonts w:ascii="Times New Roman" w:hAnsi="Times New Roman" w:eastAsia="宋体" w:cs="Times New Roman"/>
          <w:sz w:val="24"/>
          <w:szCs w:val="24"/>
        </w:rPr>
        <w:t>The Secretary-General shall exercise the following powers and perform the following duties:</w:t>
      </w:r>
    </w:p>
    <w:p w14:paraId="59327B33">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coordinate the work of the various bodies of the Organization;</w:t>
      </w:r>
    </w:p>
    <w:p w14:paraId="77B8F4EE">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organize the administrative bodies in carrying out the day-to-day work of the Organization;</w:t>
      </w:r>
    </w:p>
    <w:p w14:paraId="76797231">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attend meetings of the General Assembly and the Board of Directors as a non-voting participant where not otherwise entitled to vote;</w:t>
      </w:r>
    </w:p>
    <w:p w14:paraId="420E1C10">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nominate Deputy Secretaries-General and the principal officers of subordinate bodies for decision by the Board of Directors;</w:t>
      </w:r>
    </w:p>
    <w:p w14:paraId="67304C6C">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the employment of full-time staff;</w:t>
      </w:r>
    </w:p>
    <w:p w14:paraId="0909E957">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prepare a staff remuneration proposal for consideration by the Board of Directors;</w:t>
      </w:r>
    </w:p>
    <w:p w14:paraId="069EBF1A">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prepare the annual work report and work plan for consideration by the Board of Directors;</w:t>
      </w:r>
    </w:p>
    <w:p w14:paraId="7C46BFBB">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prepare the annual financial budget and final accounts for consideration by the Board of Directors;</w:t>
      </w:r>
    </w:p>
    <w:p w14:paraId="27F0C56E">
      <w:pPr>
        <w:pStyle w:val="19"/>
        <w:widowControl/>
        <w:numPr>
          <w:ilvl w:val="0"/>
          <w:numId w:val="26"/>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handle other day-to-day affairs.</w:t>
      </w:r>
    </w:p>
    <w:p w14:paraId="05EDE83B">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39. </w:t>
      </w:r>
      <w:r>
        <w:rPr>
          <w:rFonts w:ascii="Times New Roman" w:hAnsi="Times New Roman" w:eastAsia="宋体" w:cs="Times New Roman"/>
          <w:sz w:val="24"/>
          <w:szCs w:val="24"/>
        </w:rPr>
        <w:t>Minutes and records shall be prepared for meetings of the General Assembly and the Board of Directors. Where a resolution is adopted, a written resolution shall be prepared, and a resolution of the Board of Directors shall also be confirmed by the participating Directors. Meeting minutes, records and resolutions shall be available for inspection by Members and shall be retained for at least 30 years.</w:t>
      </w:r>
    </w:p>
    <w:p w14:paraId="6D5111B0">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Changes in Directors, Officers or Supervisors shall be communicated promptly to Members in an appropriate manner.</w:t>
      </w:r>
    </w:p>
    <w:p w14:paraId="6861E89B">
      <w:pPr>
        <w:pStyle w:val="4"/>
        <w:widowControl/>
      </w:pPr>
      <w:r>
        <w:t>SECTION 4  SUPERVISORS</w:t>
      </w:r>
    </w:p>
    <w:p w14:paraId="06AD08BD">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40. </w:t>
      </w:r>
      <w:r>
        <w:rPr>
          <w:rFonts w:ascii="Times New Roman" w:hAnsi="Times New Roman" w:eastAsia="宋体" w:cs="Times New Roman"/>
          <w:sz w:val="24"/>
          <w:szCs w:val="24"/>
        </w:rPr>
        <w:t>The Organization shall have two Supervisors.</w:t>
      </w:r>
    </w:p>
    <w:p w14:paraId="682F005A">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term of office of a Supervisor shall be the same as that of a Director, and a Supervisor may be re-elected upon expiry of the term.</w:t>
      </w:r>
    </w:p>
    <w:p w14:paraId="704D97AD">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At least one Supervisor shall be a Chinese national.</w:t>
      </w:r>
    </w:p>
    <w:p w14:paraId="32B9F490">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competent business authority may, as necessary, assign a Supervisor to the Organization to provide oversight and guidance.</w:t>
      </w:r>
    </w:p>
    <w:p w14:paraId="486C06BC">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41. </w:t>
      </w:r>
      <w:r>
        <w:rPr>
          <w:rFonts w:ascii="Times New Roman" w:hAnsi="Times New Roman" w:eastAsia="宋体" w:cs="Times New Roman"/>
          <w:sz w:val="24"/>
          <w:szCs w:val="24"/>
        </w:rPr>
        <w:t>An Officer, Director, principal officer of a subordinate body, financial officer or staff member of the Organization shall not concurrently serve as a Supervisor. A Supervisor shall not be a close relative of any such person or come from the same organization as such person, and shall not hold any other position in the Organization.</w:t>
      </w:r>
    </w:p>
    <w:p w14:paraId="7BA3B305">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42. </w:t>
      </w:r>
      <w:r>
        <w:rPr>
          <w:rFonts w:ascii="Times New Roman" w:hAnsi="Times New Roman" w:eastAsia="宋体" w:cs="Times New Roman"/>
          <w:sz w:val="24"/>
          <w:szCs w:val="24"/>
        </w:rPr>
        <w:t>The Supervisors shall exercise the following powers:</w:t>
      </w:r>
    </w:p>
    <w:p w14:paraId="278B389A">
      <w:pPr>
        <w:pStyle w:val="19"/>
        <w:widowControl/>
        <w:numPr>
          <w:ilvl w:val="0"/>
          <w:numId w:val="2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attend meetings of the Board of Directors and raise questions or recommendations concerning matters under consideration;</w:t>
      </w:r>
    </w:p>
    <w:p w14:paraId="7A4BB49F">
      <w:pPr>
        <w:pStyle w:val="19"/>
        <w:widowControl/>
        <w:numPr>
          <w:ilvl w:val="0"/>
          <w:numId w:val="2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supervise the conduct of Directors and Officers in performing duties for the Organization, require Directors and Officers to submit reports on the performance of duties, and recommend the removal of any person who seriously violates these Statutes or a resolution of the General Assembly;</w:t>
      </w:r>
    </w:p>
    <w:p w14:paraId="496E1C1D">
      <w:pPr>
        <w:pStyle w:val="19"/>
        <w:widowControl/>
        <w:numPr>
          <w:ilvl w:val="0"/>
          <w:numId w:val="2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examine the financial reports of the Organization, report on the work of the Supervisors to the General Assembly, and submit proposals to the General Assembly;</w:t>
      </w:r>
    </w:p>
    <w:p w14:paraId="467FBA2E">
      <w:pPr>
        <w:pStyle w:val="19"/>
        <w:widowControl/>
        <w:numPr>
          <w:ilvl w:val="0"/>
          <w:numId w:val="2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require an Officer, Director or financial officer to promptly rectify conduct that harms the interests of the Organization;</w:t>
      </w:r>
    </w:p>
    <w:p w14:paraId="4A6ECD10">
      <w:pPr>
        <w:pStyle w:val="19"/>
        <w:widowControl/>
        <w:numPr>
          <w:ilvl w:val="0"/>
          <w:numId w:val="2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report problems in the work of the Organization to the competent business authority, the registration authority, or the competent tax or accounting authorities;</w:t>
      </w:r>
    </w:p>
    <w:p w14:paraId="539D6BA5">
      <w:pPr>
        <w:pStyle w:val="19"/>
        <w:widowControl/>
        <w:numPr>
          <w:ilvl w:val="0"/>
          <w:numId w:val="2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decide on other matters that are to be considered by the Supervisors.</w:t>
      </w:r>
    </w:p>
    <w:p w14:paraId="6450FE73">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Supervisors shall meet at least once every six months. A meeting of the Supervisors may be convened only when at least two-thirds of the Supervisors are present, and a resolution shall be valid upon approval by at least one-half of the Supervisors participating in the meeting.</w:t>
      </w:r>
    </w:p>
    <w:p w14:paraId="781F5666">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43. </w:t>
      </w:r>
      <w:r>
        <w:rPr>
          <w:rFonts w:ascii="Times New Roman" w:hAnsi="Times New Roman" w:eastAsia="宋体" w:cs="Times New Roman"/>
          <w:sz w:val="24"/>
          <w:szCs w:val="24"/>
        </w:rPr>
        <w:t>The Supervisors shall comply with the relevant laws and regulations of China and these Statutes, and shall faithfully and diligently perform their duties.</w:t>
      </w:r>
    </w:p>
    <w:p w14:paraId="384183C4">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44. </w:t>
      </w:r>
      <w:r>
        <w:rPr>
          <w:rFonts w:ascii="Times New Roman" w:hAnsi="Times New Roman" w:eastAsia="宋体" w:cs="Times New Roman"/>
          <w:sz w:val="24"/>
          <w:szCs w:val="24"/>
        </w:rPr>
        <w:t>The Supervisors may investigate the activities of the Organization and, where necessary, may engage an accounting firm or other professional body to assist in their work. The Organization shall provide the conditions necessary for the Supervisors to exercise their powers and shall bear the expenses necessary for that purpose.</w:t>
      </w:r>
    </w:p>
    <w:p w14:paraId="008E3D8C">
      <w:pPr>
        <w:pStyle w:val="4"/>
        <w:widowControl/>
      </w:pPr>
      <w:r>
        <w:t>SECTION 5  BRANCHES AND REPRESENTATIVE OFFICES</w:t>
      </w:r>
    </w:p>
    <w:p w14:paraId="1FDC9D1F">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45. </w:t>
      </w:r>
      <w:r>
        <w:rPr>
          <w:rFonts w:ascii="Times New Roman" w:hAnsi="Times New Roman" w:eastAsia="宋体" w:cs="Times New Roman"/>
          <w:sz w:val="24"/>
          <w:szCs w:val="24"/>
        </w:rPr>
        <w:t>The Organization may, as necessary and within its purpose and scope of activities, establish branches and representative offices.</w:t>
      </w:r>
    </w:p>
    <w:p w14:paraId="15A765AD">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Branches and representative offices shall be constituent parts of the Organization, shall operate within the scope authorized by the Organization, and their legal liabilities shall be borne by the Organization. A branch is a body established according to the composition of the membership, categories of activity or other relevant considerations. A representative office is a body authorized to represent the Organization outside its registered office in conducting liaison, exchange, research and similar activities.</w:t>
      </w:r>
    </w:p>
    <w:p w14:paraId="4BBF263D">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46. </w:t>
      </w:r>
      <w:r>
        <w:rPr>
          <w:rFonts w:ascii="Times New Roman" w:hAnsi="Times New Roman" w:eastAsia="宋体" w:cs="Times New Roman"/>
          <w:sz w:val="24"/>
          <w:szCs w:val="24"/>
        </w:rPr>
        <w:t>Branches and representative offices established by the Organization within China shall be governed in accordance with the relevant Chinese provisions.</w:t>
      </w:r>
    </w:p>
    <w:p w14:paraId="4B52BE74">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47. </w:t>
      </w:r>
      <w:r>
        <w:rPr>
          <w:rFonts w:ascii="Times New Roman" w:hAnsi="Times New Roman" w:eastAsia="宋体" w:cs="Times New Roman"/>
          <w:sz w:val="24"/>
          <w:szCs w:val="24"/>
        </w:rPr>
        <w:t>The establishment of a branch or representative office outside China shall, after consideration by the Board of Directors, be submitted for approval to the competent business authority or the authority responsible for foreign affairs.</w:t>
      </w:r>
    </w:p>
    <w:p w14:paraId="1750042A">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48. </w:t>
      </w:r>
      <w:r>
        <w:rPr>
          <w:rFonts w:ascii="Times New Roman" w:hAnsi="Times New Roman" w:eastAsia="宋体" w:cs="Times New Roman"/>
          <w:sz w:val="24"/>
          <w:szCs w:val="24"/>
        </w:rPr>
        <w:t>In carrying out activities, the branches and representative offices of the Organization shall comply with the laws and regulations of China and of any other country or region in which the activities are conducted, and shall respect local customs and practices.</w:t>
      </w:r>
    </w:p>
    <w:p w14:paraId="728AD202">
      <w:pPr>
        <w:pStyle w:val="4"/>
        <w:widowControl/>
      </w:pPr>
      <w:r>
        <w:t>SECTION 6  INTERNAL GOVERNANCE AND DISPUTE RESOLUTION</w:t>
      </w:r>
    </w:p>
    <w:p w14:paraId="50CC5EB4">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49. </w:t>
      </w:r>
      <w:r>
        <w:rPr>
          <w:rFonts w:ascii="Times New Roman" w:hAnsi="Times New Roman" w:eastAsia="宋体" w:cs="Times New Roman"/>
          <w:sz w:val="24"/>
          <w:szCs w:val="24"/>
        </w:rPr>
        <w:t>The Organization shall establish and maintain sound internal governance systems and procedures, including:</w:t>
      </w:r>
    </w:p>
    <w:p w14:paraId="5808CD1F">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Membership Rules;</w:t>
      </w:r>
    </w:p>
    <w:p w14:paraId="05D855E8">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Membership Dues Rules;</w:t>
      </w:r>
    </w:p>
    <w:p w14:paraId="2971F279">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financial management rules;</w:t>
      </w:r>
    </w:p>
    <w:p w14:paraId="182B60F2">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asset management rules;</w:t>
      </w:r>
    </w:p>
    <w:p w14:paraId="7F3B526A">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internal control rules;</w:t>
      </w:r>
    </w:p>
    <w:p w14:paraId="5370A609">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staff performance-assessment and remuneration-management rules;</w:t>
      </w:r>
    </w:p>
    <w:p w14:paraId="3415DA78">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internal dispute-resolution rules;</w:t>
      </w:r>
    </w:p>
    <w:p w14:paraId="75DEC207">
      <w:pPr>
        <w:pStyle w:val="19"/>
        <w:widowControl/>
        <w:numPr>
          <w:ilvl w:val="0"/>
          <w:numId w:val="2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rules concerning intellectual property management, research integrity, data security and data sharing, compliance review of foreign-related cooperation, confidentiality and other relevant matters.</w:t>
      </w:r>
    </w:p>
    <w:p w14:paraId="0D9941E6">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50. </w:t>
      </w:r>
      <w:r>
        <w:rPr>
          <w:rFonts w:ascii="Times New Roman" w:hAnsi="Times New Roman" w:eastAsia="宋体" w:cs="Times New Roman"/>
          <w:sz w:val="24"/>
          <w:szCs w:val="24"/>
        </w:rPr>
        <w:t>The remuneration-management rules established by the Organization shall be disclosed within an appropriate scope and shall be subject to democratic oversight.</w:t>
      </w:r>
    </w:p>
    <w:p w14:paraId="032E43A4">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51. </w:t>
      </w:r>
      <w:r>
        <w:rPr>
          <w:rFonts w:ascii="Times New Roman" w:hAnsi="Times New Roman" w:eastAsia="宋体" w:cs="Times New Roman"/>
          <w:sz w:val="24"/>
          <w:szCs w:val="24"/>
        </w:rPr>
        <w:t>The Organization shall maintain registers of Members, Directors and Officers, and shall properly keep certificates, seals, archives, documents and other property and materials at its registered office. No entity or individual may unlawfully take possession of them. A staff member who is transferred or leaves employment shall duly complete a handover with the successor or other designated person.</w:t>
      </w:r>
    </w:p>
    <w:p w14:paraId="48302024">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52. </w:t>
      </w:r>
      <w:r>
        <w:rPr>
          <w:rFonts w:ascii="Times New Roman" w:hAnsi="Times New Roman" w:eastAsia="宋体" w:cs="Times New Roman"/>
          <w:sz w:val="24"/>
          <w:szCs w:val="24"/>
        </w:rPr>
        <w:t>If a certificate or seal of the Organization is lost, the Organization shall, after approval by at least two-thirds of all Directors, publish a declaration of loss in a publicly circulated newspaper and apply for reissuance or re-engraving in accordance with applicable provisions. If a certificate or seal is unlawfully held by an individual, the Organization shall seek its return through legal means.</w:t>
      </w:r>
    </w:p>
    <w:p w14:paraId="1B52E9D2">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53. </w:t>
      </w:r>
      <w:r>
        <w:rPr>
          <w:rFonts w:ascii="Times New Roman" w:hAnsi="Times New Roman" w:eastAsia="宋体" w:cs="Times New Roman"/>
          <w:sz w:val="24"/>
          <w:szCs w:val="24"/>
        </w:rPr>
        <w:t>The Organization shall establish and maintain a sound information-disclosure system and shall promptly disclose necessary information to Members and the public.</w:t>
      </w:r>
    </w:p>
    <w:p w14:paraId="4AD14098">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54. </w:t>
      </w:r>
      <w:r>
        <w:rPr>
          <w:rFonts w:ascii="Times New Roman" w:hAnsi="Times New Roman" w:eastAsia="宋体" w:cs="Times New Roman"/>
          <w:sz w:val="24"/>
          <w:szCs w:val="24"/>
        </w:rPr>
        <w:t>The Organization shall establish mechanisms for democratic consultation and internal dispute resolution. If an internal dispute cannot be resolved through consultation, it may be resolved through mediation, litigation or other means in accordance with Chinese laws and regulations.</w:t>
      </w:r>
    </w:p>
    <w:p w14:paraId="4A7BDA57">
      <w:pPr>
        <w:pStyle w:val="3"/>
        <w:widowControl/>
      </w:pPr>
      <w:r>
        <w:t>CHAPTER V  FINANCIAL AND ASSET MANAGEMENT PRINCIPLES</w:t>
      </w:r>
    </w:p>
    <w:p w14:paraId="30BE984E">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55. </w:t>
      </w:r>
      <w:r>
        <w:rPr>
          <w:rFonts w:ascii="Times New Roman" w:hAnsi="Times New Roman" w:eastAsia="宋体" w:cs="Times New Roman"/>
          <w:sz w:val="24"/>
          <w:szCs w:val="24"/>
        </w:rPr>
        <w:t>The sources of income of the Organization shall include:</w:t>
      </w:r>
    </w:p>
    <w:p w14:paraId="778A79EC">
      <w:pPr>
        <w:pStyle w:val="19"/>
        <w:widowControl/>
        <w:numPr>
          <w:ilvl w:val="0"/>
          <w:numId w:val="2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membership dues;</w:t>
      </w:r>
    </w:p>
    <w:p w14:paraId="1ED8784F">
      <w:pPr>
        <w:pStyle w:val="19"/>
        <w:widowControl/>
        <w:numPr>
          <w:ilvl w:val="0"/>
          <w:numId w:val="2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donations;</w:t>
      </w:r>
    </w:p>
    <w:p w14:paraId="6ECBAD14">
      <w:pPr>
        <w:pStyle w:val="19"/>
        <w:widowControl/>
        <w:numPr>
          <w:ilvl w:val="0"/>
          <w:numId w:val="2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income from activities conducted and services provided within the approved scope of activities;</w:t>
      </w:r>
    </w:p>
    <w:p w14:paraId="011DD514">
      <w:pPr>
        <w:pStyle w:val="19"/>
        <w:widowControl/>
        <w:numPr>
          <w:ilvl w:val="0"/>
          <w:numId w:val="2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interest income;</w:t>
      </w:r>
    </w:p>
    <w:p w14:paraId="51ACED9C">
      <w:pPr>
        <w:pStyle w:val="19"/>
        <w:widowControl/>
        <w:numPr>
          <w:ilvl w:val="0"/>
          <w:numId w:val="2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funding from governments and international organizations;</w:t>
      </w:r>
    </w:p>
    <w:p w14:paraId="3A0D67A0">
      <w:pPr>
        <w:pStyle w:val="19"/>
        <w:widowControl/>
        <w:numPr>
          <w:ilvl w:val="0"/>
          <w:numId w:val="2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funding for research cooperation;</w:t>
      </w:r>
    </w:p>
    <w:p w14:paraId="60304C5C">
      <w:pPr>
        <w:pStyle w:val="19"/>
        <w:widowControl/>
        <w:numPr>
          <w:ilvl w:val="0"/>
          <w:numId w:val="29"/>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other lawful income.</w:t>
      </w:r>
    </w:p>
    <w:p w14:paraId="75A2818D">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56. </w:t>
      </w:r>
      <w:r>
        <w:rPr>
          <w:rFonts w:ascii="Times New Roman" w:hAnsi="Times New Roman" w:eastAsia="宋体" w:cs="Times New Roman"/>
          <w:sz w:val="24"/>
          <w:szCs w:val="24"/>
        </w:rPr>
        <w:t>The Organization shall establish standards for membership dues and collect membership dues in accordance with the relevant Chinese provisions.</w:t>
      </w:r>
    </w:p>
    <w:p w14:paraId="43A039DF">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57. </w:t>
      </w:r>
      <w:r>
        <w:rPr>
          <w:rFonts w:ascii="Times New Roman" w:hAnsi="Times New Roman" w:eastAsia="宋体" w:cs="Times New Roman"/>
          <w:sz w:val="24"/>
          <w:szCs w:val="24"/>
        </w:rPr>
        <w:t>Except for reasonable expenditures relating to the Organization, all income of the Organization shall be applied to the scope of activities prescribed in these Statutes.</w:t>
      </w:r>
    </w:p>
    <w:p w14:paraId="5BD82789">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58. </w:t>
      </w:r>
      <w:r>
        <w:rPr>
          <w:rFonts w:ascii="Times New Roman" w:hAnsi="Times New Roman" w:eastAsia="宋体" w:cs="Times New Roman"/>
          <w:sz w:val="24"/>
          <w:szCs w:val="24"/>
        </w:rPr>
        <w:t>In accordance with the Accounting Law of the People's Republic of China, the Accounting System for Non-governmental Non-profit Organizations and other applicable laws and regulations, the Organization shall establish and maintain a sound financial management system, engage qualified accounting personnel, and implement accounting supervision in accordance with law and regulation.</w:t>
      </w:r>
    </w:p>
    <w:p w14:paraId="56812BD8">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59. </w:t>
      </w:r>
      <w:r>
        <w:rPr>
          <w:rFonts w:ascii="Times New Roman" w:hAnsi="Times New Roman" w:eastAsia="宋体" w:cs="Times New Roman"/>
          <w:sz w:val="24"/>
          <w:szCs w:val="24"/>
        </w:rPr>
        <w:t>The assets of the Organization shall be managed in accordance with the asset and financial management systems prescribed by China and shall be subject to supervision by the General Assembly and the relevant authorities.</w:t>
      </w:r>
    </w:p>
    <w:p w14:paraId="569F487B">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60. </w:t>
      </w:r>
      <w:r>
        <w:rPr>
          <w:rFonts w:ascii="Times New Roman" w:hAnsi="Times New Roman" w:eastAsia="宋体" w:cs="Times New Roman"/>
          <w:sz w:val="24"/>
          <w:szCs w:val="24"/>
        </w:rPr>
        <w:t>Any major allocation, use or disposal of assets of the Organization shall be considered by the General Assembly or the Board of Directors.</w:t>
      </w:r>
    </w:p>
    <w:p w14:paraId="558DDBC9">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61. </w:t>
      </w:r>
      <w:r>
        <w:rPr>
          <w:rFonts w:ascii="Times New Roman" w:hAnsi="Times New Roman" w:eastAsia="宋体" w:cs="Times New Roman"/>
          <w:sz w:val="24"/>
          <w:szCs w:val="24"/>
        </w:rPr>
        <w:t>An Officer, Director or other relevant person who causes loss to the Organization by breaching the duty of loyalty or diligence shall bear personal responsibility in accordance with applicable provisions.</w:t>
      </w:r>
    </w:p>
    <w:p w14:paraId="41FC558C">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62. </w:t>
      </w:r>
      <w:r>
        <w:rPr>
          <w:rFonts w:ascii="Times New Roman" w:hAnsi="Times New Roman" w:eastAsia="宋体" w:cs="Times New Roman"/>
          <w:sz w:val="24"/>
          <w:szCs w:val="24"/>
        </w:rPr>
        <w:t>A financial audit shall be conducted before a change of term of the Organization or a change of its legal representative.</w:t>
      </w:r>
    </w:p>
    <w:p w14:paraId="2CFBD5E5">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63. </w:t>
      </w:r>
      <w:r>
        <w:rPr>
          <w:rFonts w:ascii="Times New Roman" w:hAnsi="Times New Roman" w:eastAsia="宋体" w:cs="Times New Roman"/>
          <w:sz w:val="24"/>
          <w:szCs w:val="24"/>
        </w:rPr>
        <w:t>All assets of the Organization and any appreciation thereof shall belong to the Organization. No entity or individual may take possession of, privately divide or misappropriate such assets, and such assets shall not be distributed among the Members.</w:t>
      </w:r>
    </w:p>
    <w:p w14:paraId="7A52E0B9">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64. </w:t>
      </w:r>
      <w:r>
        <w:rPr>
          <w:rFonts w:ascii="Times New Roman" w:hAnsi="Times New Roman" w:eastAsia="宋体" w:cs="Times New Roman"/>
          <w:sz w:val="24"/>
          <w:szCs w:val="24"/>
        </w:rPr>
        <w:t>The Organization shall practise economy, reduce unnecessary expenditure, and make full and efficient use of its property.</w:t>
      </w:r>
    </w:p>
    <w:p w14:paraId="1BAF96B3">
      <w:pPr>
        <w:pStyle w:val="3"/>
        <w:widowControl/>
      </w:pPr>
      <w:r>
        <w:t>CHAPTER VI  AMENDMENT OF THE STATUTES</w:t>
      </w:r>
    </w:p>
    <w:p w14:paraId="18F87CD1">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65. </w:t>
      </w:r>
      <w:r>
        <w:rPr>
          <w:rFonts w:ascii="Times New Roman" w:hAnsi="Times New Roman" w:eastAsia="宋体" w:cs="Times New Roman"/>
          <w:sz w:val="24"/>
          <w:szCs w:val="24"/>
        </w:rPr>
        <w:t>Any amendment to these Statutes shall, after approval by the Board of Directors, be submitted to the General Assembly for consideration.</w:t>
      </w:r>
    </w:p>
    <w:p w14:paraId="413B2EBD">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66. </w:t>
      </w:r>
      <w:r>
        <w:rPr>
          <w:rFonts w:ascii="Times New Roman" w:hAnsi="Times New Roman" w:eastAsia="宋体" w:cs="Times New Roman"/>
          <w:sz w:val="24"/>
          <w:szCs w:val="24"/>
        </w:rPr>
        <w:t>Amended Statutes approved by at least two-thirds of the Members participating in the General Assembly shall, within 30 days after approval, be submitted to the competent business authority for review and consent and to the registration authority for approval, and shall take effect upon such approval.</w:t>
      </w:r>
    </w:p>
    <w:p w14:paraId="6E8E634C">
      <w:pPr>
        <w:pStyle w:val="3"/>
        <w:widowControl/>
      </w:pPr>
      <w:r>
        <w:t>CHAPTER VII  TERMINATION AND DISPOSAL OF REMAINING ASSETS</w:t>
      </w:r>
    </w:p>
    <w:p w14:paraId="086D6D0F">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67. </w:t>
      </w:r>
      <w:r>
        <w:rPr>
          <w:rFonts w:ascii="Times New Roman" w:hAnsi="Times New Roman" w:eastAsia="宋体" w:cs="Times New Roman"/>
          <w:sz w:val="24"/>
          <w:szCs w:val="24"/>
        </w:rPr>
        <w:t>A proposal to terminate the Organization shall be made by the Board of Directors and submitted to the General Assembly for approval.</w:t>
      </w:r>
    </w:p>
    <w:p w14:paraId="1695FB9F">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68. </w:t>
      </w:r>
      <w:r>
        <w:rPr>
          <w:rFonts w:ascii="Times New Roman" w:hAnsi="Times New Roman" w:eastAsia="宋体" w:cs="Times New Roman"/>
          <w:sz w:val="24"/>
          <w:szCs w:val="24"/>
        </w:rPr>
        <w:t>Before termination, the Organization shall, under the guidance of the competent business authority, lawfully establish a liquidation body to settle claims and debts and handle related matters. During liquidation, the Organization shall not conduct activities unrelated to liquidation.</w:t>
      </w:r>
    </w:p>
    <w:p w14:paraId="09D6139F">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69. </w:t>
      </w:r>
      <w:r>
        <w:rPr>
          <w:rFonts w:ascii="Times New Roman" w:hAnsi="Times New Roman" w:eastAsia="宋体" w:cs="Times New Roman"/>
          <w:sz w:val="24"/>
          <w:szCs w:val="24"/>
        </w:rPr>
        <w:t>Any property remaining after liquidation shall, under the supervision of the competent business authority and the registration authority and in accordance with the relevant Chinese provisions, be used to develop undertakings related to the purpose of the Organization or be donated to a social organization registered in China with a similar purpose.</w:t>
      </w:r>
    </w:p>
    <w:p w14:paraId="60D85E42">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70. </w:t>
      </w:r>
      <w:r>
        <w:rPr>
          <w:rFonts w:ascii="Times New Roman" w:hAnsi="Times New Roman" w:eastAsia="宋体" w:cs="Times New Roman"/>
          <w:sz w:val="24"/>
          <w:szCs w:val="24"/>
        </w:rPr>
        <w:t>The Organization shall terminate upon completion of deregistration with the registration authority.</w:t>
      </w:r>
    </w:p>
    <w:p w14:paraId="3453CE27">
      <w:pPr>
        <w:pStyle w:val="3"/>
        <w:widowControl/>
      </w:pPr>
      <w:r>
        <w:t>CHAPTER VIII  WORKING LANGUAGES</w:t>
      </w:r>
    </w:p>
    <w:p w14:paraId="33AD3F3A">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71. </w:t>
      </w:r>
      <w:r>
        <w:rPr>
          <w:rFonts w:ascii="Times New Roman" w:hAnsi="Times New Roman" w:eastAsia="宋体" w:cs="Times New Roman"/>
          <w:sz w:val="24"/>
          <w:szCs w:val="24"/>
        </w:rPr>
        <w:t>The working languages of the Organization shall be Chinese and English. In the event of any inconsistency or ambiguity, the Chinese text shall prevail.</w:t>
      </w:r>
    </w:p>
    <w:p w14:paraId="7AAC3932">
      <w:pPr>
        <w:pStyle w:val="3"/>
        <w:widowControl/>
      </w:pPr>
      <w:r>
        <w:t>CHAPTER IX  SUPPLEMENTARY PROVISIONS</w:t>
      </w:r>
    </w:p>
    <w:p w14:paraId="4EA2D520">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72. </w:t>
      </w:r>
      <w:r>
        <w:rPr>
          <w:rFonts w:ascii="Times New Roman" w:hAnsi="Times New Roman" w:eastAsia="宋体" w:cs="Times New Roman"/>
          <w:sz w:val="24"/>
          <w:szCs w:val="24"/>
        </w:rPr>
        <w:t>These Statutes were adopted by the [session/meeting number to be confirmed] General Assembly on [date of adoption to be confirmed].</w:t>
      </w:r>
    </w:p>
    <w:p w14:paraId="61E67456">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73. </w:t>
      </w:r>
      <w:r>
        <w:rPr>
          <w:rFonts w:ascii="Times New Roman" w:hAnsi="Times New Roman" w:eastAsia="宋体" w:cs="Times New Roman"/>
          <w:sz w:val="24"/>
          <w:szCs w:val="24"/>
        </w:rPr>
        <w:t>The Board of Directors shall have the authority to interpret these Statutes.</w:t>
      </w:r>
    </w:p>
    <w:p w14:paraId="594973E1">
      <w:pPr>
        <w:pStyle w:val="19"/>
        <w:widowControl/>
        <w:rPr>
          <w:rFonts w:ascii="Times New Roman" w:hAnsi="Times New Roman" w:eastAsia="宋体" w:cs="Times New Roman"/>
          <w:sz w:val="24"/>
          <w:szCs w:val="24"/>
        </w:rPr>
      </w:pPr>
      <w:r>
        <w:rPr>
          <w:rFonts w:ascii="Times New Roman" w:hAnsi="Times New Roman" w:eastAsia="宋体" w:cs="Times New Roman"/>
          <w:b/>
          <w:sz w:val="24"/>
          <w:szCs w:val="24"/>
        </w:rPr>
        <w:t xml:space="preserve">Article 74. </w:t>
      </w:r>
      <w:r>
        <w:rPr>
          <w:rFonts w:ascii="Times New Roman" w:hAnsi="Times New Roman" w:eastAsia="宋体" w:cs="Times New Roman"/>
          <w:sz w:val="24"/>
          <w:szCs w:val="24"/>
        </w:rPr>
        <w:t>These Statutes shall take effect on the date of approval by the registration authority.</w:t>
      </w:r>
    </w:p>
    <w:p w14:paraId="45AAB5ED">
      <w:pPr>
        <w:spacing w:before="280"/>
        <w:jc w:val="center"/>
      </w:pPr>
      <w:r>
        <w:rPr>
          <w:rFonts w:ascii="Arial" w:hAnsi="Arial"/>
          <w:b/>
          <w:color w:val="465C74"/>
          <w:sz w:val="18"/>
        </w:rPr>
        <w:t>- END OF STATUTES -</w:t>
      </w:r>
    </w:p>
    <w:p w14:paraId="3EFF2C73">
      <w:r>
        <w:br w:type="page"/>
      </w:r>
    </w:p>
    <w:p w14:paraId="29E5159E">
      <w:pPr>
        <w:pStyle w:val="3"/>
        <w:widowControl/>
      </w:pPr>
      <w:r>
        <w:t>ANNEX 1</w:t>
      </w:r>
    </w:p>
    <w:p w14:paraId="2C58CF76">
      <w:pPr>
        <w:pStyle w:val="31"/>
        <w:widowControl/>
      </w:pPr>
      <w:r>
        <w:t>RESPONSIBILITIES OF PARTICIPANTS AND PRINCIPLES OF COOPERATION</w:t>
      </w:r>
    </w:p>
    <w:p w14:paraId="4795970E">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To facilitate the participation of relevant institutions, experts and partners in China and abroad in activities of the International Nuclear Research Infrastructure Organization (INRIO), and in accordance with the Statutes of the International Nuclear Research Infrastructure Organization, participants in the Organization shall be classified as Institutional Members, Individual Members and Observers. Their principal rights and obligations are set out below.</w:t>
      </w:r>
    </w:p>
    <w:p w14:paraId="63B2ABC6">
      <w:pPr>
        <w:pStyle w:val="3"/>
        <w:widowControl/>
      </w:pPr>
      <w:r>
        <w:t>I. INSTITUTIONAL MEMBERS</w:t>
      </w:r>
    </w:p>
    <w:p w14:paraId="604A112D">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Institutional Members mainly include research institutions, higher-education institutions, academic societies, non-governmental organizations, corporate research institutions and other entities engaged in nuclear research infrastructure, nuclear science, applications of nuclear technology and related fields, as well as operators of nuclear research infrastructure such as research reactors, neutron sources, accelerators, underground laboratories, irradiation test platforms and thermal-hydraulic test platforms.</w:t>
      </w:r>
    </w:p>
    <w:p w14:paraId="2DD450A4">
      <w:pPr>
        <w:pStyle w:val="4"/>
        <w:widowControl/>
        <w:numPr>
          <w:ilvl w:val="0"/>
          <w:numId w:val="30"/>
        </w:numPr>
        <w:ind w:left="0" w:leftChars="0" w:firstLine="0" w:firstLineChars="0"/>
        <w:rPr>
          <w:b w:val="0"/>
        </w:rPr>
      </w:pPr>
      <w:r>
        <w:t>Principal Rights</w:t>
      </w:r>
    </w:p>
    <w:p w14:paraId="16E1E38A">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exercise the rights to elect, to stand for election and to vote in accordance with the Statutes;</w:t>
      </w:r>
    </w:p>
    <w:p w14:paraId="59F3326A">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participate in the General Assembly, academic conferences, seminars, training programmes, summer schools, exchanges for young scientists, expert visits and other activities of the Organization;</w:t>
      </w:r>
    </w:p>
    <w:p w14:paraId="3F38A61D">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receive priority access to information published by the Organization concerning facility access, joint research, training and exchange, capacity-building and international cooperation;</w:t>
      </w:r>
    </w:p>
    <w:p w14:paraId="555CA475">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publish information on facility capabilities, user needs, cooperation intentions and projects through the platform of the Organization;</w:t>
      </w:r>
    </w:p>
    <w:p w14:paraId="0AD4A062">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apply, in accordance with applicable procedures, to use nuclear research infrastructure, experimental platforms, test devices, data resources and related technical services made available by other Institutional Members;</w:t>
      </w:r>
    </w:p>
    <w:p w14:paraId="07E15D87">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initiate or participate in joint research, facility user programmes, technical advisory services, training and exchange, and capacity-building projects;</w:t>
      </w:r>
    </w:p>
    <w:p w14:paraId="219420C7">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nominate experts from the Institution to participate in the expert roster, working groups, academic activities, advisory assessments and technical exchanges of the Organization;</w:t>
      </w:r>
    </w:p>
    <w:p w14:paraId="04D231FB">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participate in identifying good practices, developing guidelines and exchanging results concerning the design, construction, operation, management and user services of nuclear research infrastructure;</w:t>
      </w:r>
    </w:p>
    <w:p w14:paraId="5E61AFF8">
      <w:pPr>
        <w:pStyle w:val="19"/>
        <w:widowControl/>
        <w:numPr>
          <w:ilvl w:val="0"/>
          <w:numId w:val="3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submit comments, recommendations and oversight observations concerning the work of the Organization.</w:t>
      </w:r>
    </w:p>
    <w:p w14:paraId="005CA9DD">
      <w:pPr>
        <w:pStyle w:val="4"/>
        <w:widowControl/>
        <w:numPr>
          <w:ilvl w:val="0"/>
          <w:numId w:val="30"/>
        </w:numPr>
        <w:ind w:left="0" w:leftChars="0" w:firstLine="0" w:firstLineChars="0"/>
        <w:rPr>
          <w:b w:val="0"/>
        </w:rPr>
      </w:pPr>
      <w:r>
        <w:t>Principal Obligations</w:t>
      </w:r>
    </w:p>
    <w:p w14:paraId="19D806C5">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the Statutes and relevant governance rules of the Organization;</w:t>
      </w:r>
    </w:p>
    <w:p w14:paraId="684E911D">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safeguard the lawful rights, interests and international reputation of the Organization;</w:t>
      </w:r>
    </w:p>
    <w:p w14:paraId="18DDB45F">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pay membership dues as required or bear confirmed project costs;</w:t>
      </w:r>
    </w:p>
    <w:p w14:paraId="6DB797F4">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provide truthful information concerning membership registration, facility capabilities, cooperation needs and projects;</w:t>
      </w:r>
    </w:p>
    <w:p w14:paraId="769FD4D1">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when participating in facility access, joint research or international cooperation projects, comply with requirements concerning safety, confidentiality, research integrity, data management, intellectual property, conflicts of interest and compliance review;</w:t>
      </w:r>
    </w:p>
    <w:p w14:paraId="6F2DFF1F">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conduct unauthorized activities in the name of the Organization;</w:t>
      </w:r>
    </w:p>
    <w:p w14:paraId="49DF596B">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use the platform of the Organization to conduct political, military, regulatory, certification or other improper activities inconsistent with the purpose of the Organization;</w:t>
      </w:r>
    </w:p>
    <w:p w14:paraId="1C913EEC">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maintain the confidentiality of non-public information obtained through activities of the Organization;</w:t>
      </w:r>
    </w:p>
    <w:p w14:paraId="20C3BB6B">
      <w:pPr>
        <w:pStyle w:val="19"/>
        <w:widowControl/>
        <w:numPr>
          <w:ilvl w:val="0"/>
          <w:numId w:val="3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cooperate with the Organization in updating membership information, evaluating projects, compiling results and summarizing activities.</w:t>
      </w:r>
    </w:p>
    <w:p w14:paraId="0A978E21">
      <w:pPr>
        <w:pStyle w:val="3"/>
        <w:widowControl/>
      </w:pPr>
      <w:r>
        <w:t>II. INDIVIDUAL MEMBERS</w:t>
      </w:r>
    </w:p>
    <w:p w14:paraId="1B0D517A">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Individual Members mainly include experts, scholars, engineers, technical professionals, scientific and technological professionals and young researchers with professional competence and influence in nuclear research infrastructure, nuclear science and technology, large-scale scientific facilities, user services, international cooperation, human-resource development, research management, technical advisory services and related fields.</w:t>
      </w:r>
    </w:p>
    <w:p w14:paraId="15890ECB">
      <w:pPr>
        <w:pStyle w:val="4"/>
        <w:widowControl/>
        <w:numPr>
          <w:ilvl w:val="0"/>
          <w:numId w:val="33"/>
        </w:numPr>
        <w:ind w:left="0" w:leftChars="0" w:firstLine="0" w:firstLineChars="0"/>
        <w:rPr>
          <w:b w:val="0"/>
        </w:rPr>
      </w:pPr>
      <w:r>
        <w:t>Principal Rights</w:t>
      </w:r>
    </w:p>
    <w:p w14:paraId="77562625">
      <w:pPr>
        <w:pStyle w:val="19"/>
        <w:widowControl/>
        <w:numPr>
          <w:ilvl w:val="0"/>
          <w:numId w:val="3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exercise the corresponding rights of membership in accordance with the Statutes;</w:t>
      </w:r>
    </w:p>
    <w:p w14:paraId="544F95DD">
      <w:pPr>
        <w:pStyle w:val="19"/>
        <w:widowControl/>
        <w:numPr>
          <w:ilvl w:val="0"/>
          <w:numId w:val="3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participate in academic conferences, seminars, training programmes, summer schools, exchanges for young scientists, expert visits and other activities organized by the Organization;</w:t>
      </w:r>
    </w:p>
    <w:p w14:paraId="708C831C">
      <w:pPr>
        <w:pStyle w:val="19"/>
        <w:widowControl/>
        <w:numPr>
          <w:ilvl w:val="0"/>
          <w:numId w:val="3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receive priority access to information published by the Organization concerning academic activities, facility access, joint research and human-resource development programmes;</w:t>
      </w:r>
    </w:p>
    <w:p w14:paraId="5E776559">
      <w:pPr>
        <w:pStyle w:val="19"/>
        <w:widowControl/>
        <w:numPr>
          <w:ilvl w:val="0"/>
          <w:numId w:val="3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participate in the expert roster, working groups, technical advisory services, project appraisal, academic exchanges and human-resource development activities of the Organization;</w:t>
      </w:r>
    </w:p>
    <w:p w14:paraId="7706FC20">
      <w:pPr>
        <w:pStyle w:val="19"/>
        <w:widowControl/>
        <w:numPr>
          <w:ilvl w:val="0"/>
          <w:numId w:val="3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participate, in accordance with applicable procedures, in open access to and shared use of nuclear research infrastructure, joint research, training and exchange, and capacity-building projects;</w:t>
      </w:r>
    </w:p>
    <w:p w14:paraId="2DB559A7">
      <w:pPr>
        <w:pStyle w:val="19"/>
        <w:widowControl/>
        <w:numPr>
          <w:ilvl w:val="0"/>
          <w:numId w:val="3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submit proposals concerning academic exchange, joint research, facility user programmes, development of young professionals and international cooperation;</w:t>
      </w:r>
    </w:p>
    <w:p w14:paraId="758774FC">
      <w:pPr>
        <w:pStyle w:val="19"/>
        <w:widowControl/>
        <w:numPr>
          <w:ilvl w:val="0"/>
          <w:numId w:val="34"/>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submit comments and recommendations concerning the work of the Organization.</w:t>
      </w:r>
    </w:p>
    <w:p w14:paraId="195D333C">
      <w:pPr>
        <w:pStyle w:val="4"/>
        <w:widowControl/>
        <w:numPr>
          <w:ilvl w:val="0"/>
          <w:numId w:val="33"/>
        </w:numPr>
        <w:ind w:left="0" w:leftChars="0" w:firstLine="0" w:firstLineChars="0"/>
        <w:rPr>
          <w:b w:val="0"/>
        </w:rPr>
      </w:pPr>
      <w:r>
        <w:t>Principal Obligations</w:t>
      </w:r>
    </w:p>
    <w:p w14:paraId="5DD6C49A">
      <w:pPr>
        <w:pStyle w:val="19"/>
        <w:widowControl/>
        <w:numPr>
          <w:ilvl w:val="0"/>
          <w:numId w:val="3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the Statutes and relevant governance rules of the Organization;</w:t>
      </w:r>
    </w:p>
    <w:p w14:paraId="606DA206">
      <w:pPr>
        <w:pStyle w:val="19"/>
        <w:widowControl/>
        <w:numPr>
          <w:ilvl w:val="0"/>
          <w:numId w:val="3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safeguard the reputation and lawful rights and interests of the Organization;</w:t>
      </w:r>
    </w:p>
    <w:p w14:paraId="29E6F6AD">
      <w:pPr>
        <w:pStyle w:val="19"/>
        <w:widowControl/>
        <w:numPr>
          <w:ilvl w:val="0"/>
          <w:numId w:val="3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requirements concerning research integrity, academic ethics, data management, intellectual property, confidentiality and conflicts of interest;</w:t>
      </w:r>
    </w:p>
    <w:p w14:paraId="7B5D869E">
      <w:pPr>
        <w:pStyle w:val="19"/>
        <w:widowControl/>
        <w:numPr>
          <w:ilvl w:val="0"/>
          <w:numId w:val="3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as a general rule, bear personally or through the affiliated institution any travel and related expenses arising from participation in activities of the Organization, unless otherwise arranged;</w:t>
      </w:r>
    </w:p>
    <w:p w14:paraId="49231CF3">
      <w:pPr>
        <w:pStyle w:val="19"/>
        <w:widowControl/>
        <w:numPr>
          <w:ilvl w:val="0"/>
          <w:numId w:val="3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conduct unauthorized activities in the name of the Organization;</w:t>
      </w:r>
    </w:p>
    <w:p w14:paraId="4CC841AE">
      <w:pPr>
        <w:pStyle w:val="19"/>
        <w:widowControl/>
        <w:numPr>
          <w:ilvl w:val="0"/>
          <w:numId w:val="3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when participating in facility use, project cooperation, technical advisory services or academic exchanges, comply with the laws and regulations of the relevant country and with the safety and site-management requirements of the facility operator;</w:t>
      </w:r>
    </w:p>
    <w:p w14:paraId="773E187B">
      <w:pPr>
        <w:pStyle w:val="19"/>
        <w:widowControl/>
        <w:numPr>
          <w:ilvl w:val="0"/>
          <w:numId w:val="35"/>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maintain the confidentiality of non-public information obtained through activities of the Organization.</w:t>
      </w:r>
    </w:p>
    <w:p w14:paraId="50E748A8">
      <w:pPr>
        <w:pStyle w:val="3"/>
        <w:widowControl/>
      </w:pPr>
      <w:r>
        <w:t>III. OBSERVERS</w:t>
      </w:r>
    </w:p>
    <w:p w14:paraId="05C7CBDA">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Observers mainly include institutions, organizations, projects or enterprises that are related to the purpose and scope of activities of the Organization but do not yet satisfy the conditions for formal membership or do not yet wish to apply for formal membership. Observers may include other international organizations, regional organizations, academic societies, entities responsible for approved but not yet completed nuclear research infrastructure projects, institutions planning to construct nuclear research infrastructure, and enterprises capable of providing technical, engineering, equipment, service or financial support.</w:t>
      </w:r>
    </w:p>
    <w:p w14:paraId="181CCB73">
      <w:pPr>
        <w:pStyle w:val="4"/>
        <w:widowControl/>
        <w:numPr>
          <w:ilvl w:val="0"/>
          <w:numId w:val="36"/>
        </w:numPr>
        <w:ind w:left="0" w:leftChars="0" w:firstLine="0" w:firstLineChars="0"/>
        <w:rPr>
          <w:b w:val="0"/>
        </w:rPr>
      </w:pPr>
      <w:r>
        <w:t>Principal Rights</w:t>
      </w:r>
    </w:p>
    <w:p w14:paraId="693CB33A">
      <w:pPr>
        <w:pStyle w:val="19"/>
        <w:widowControl/>
        <w:numPr>
          <w:ilvl w:val="0"/>
          <w:numId w:val="3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attend, by invitation, relevant meetings, forums, training programmes and exchange activities of the Organization;</w:t>
      </w:r>
    </w:p>
    <w:p w14:paraId="18A4A6C9">
      <w:pPr>
        <w:pStyle w:val="19"/>
        <w:widowControl/>
        <w:numPr>
          <w:ilvl w:val="0"/>
          <w:numId w:val="3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receive publicly available information on activities, cooperation opportunities and projects published by the Organization;</w:t>
      </w:r>
    </w:p>
    <w:p w14:paraId="00762DFA">
      <w:pPr>
        <w:pStyle w:val="19"/>
        <w:widowControl/>
        <w:numPr>
          <w:ilvl w:val="0"/>
          <w:numId w:val="3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submit comments and recommendations concerning the construction, open access and shared use, user services, human-resource development and capacity-building of nuclear research infrastructure;</w:t>
      </w:r>
    </w:p>
    <w:p w14:paraId="7CE2EB38">
      <w:pPr>
        <w:pStyle w:val="19"/>
        <w:widowControl/>
        <w:numPr>
          <w:ilvl w:val="0"/>
          <w:numId w:val="3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participate in selected cooperation projects, training programmes, thematic seminars or advisory activities recognized by the Organization;</w:t>
      </w:r>
    </w:p>
    <w:p w14:paraId="6D3FA8CE">
      <w:pPr>
        <w:pStyle w:val="19"/>
        <w:widowControl/>
        <w:numPr>
          <w:ilvl w:val="0"/>
          <w:numId w:val="37"/>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apply, upon satisfying the relevant conditions and in accordance with applicable procedures, to become an Institutional Member or Individual Member.</w:t>
      </w:r>
    </w:p>
    <w:p w14:paraId="0831D487">
      <w:pPr>
        <w:pStyle w:val="4"/>
        <w:widowControl/>
        <w:numPr>
          <w:ilvl w:val="0"/>
          <w:numId w:val="36"/>
        </w:numPr>
        <w:ind w:left="0" w:leftChars="0" w:firstLine="0" w:firstLineChars="0"/>
        <w:rPr>
          <w:b w:val="0"/>
        </w:rPr>
      </w:pPr>
      <w:r>
        <w:t>Principal Obligations</w:t>
      </w:r>
    </w:p>
    <w:p w14:paraId="5D0F4B1C">
      <w:pPr>
        <w:pStyle w:val="19"/>
        <w:widowControl/>
        <w:numPr>
          <w:ilvl w:val="0"/>
          <w:numId w:val="3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comply with the Statutes, activity rules and relevant management requirements of the Organization;</w:t>
      </w:r>
    </w:p>
    <w:p w14:paraId="0F77FA09">
      <w:pPr>
        <w:pStyle w:val="19"/>
        <w:widowControl/>
        <w:numPr>
          <w:ilvl w:val="0"/>
          <w:numId w:val="3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respect the fundamental character of the Organization as non-governmental, non-profit, open to cooperation and committed to peaceful uses;</w:t>
      </w:r>
    </w:p>
    <w:p w14:paraId="58F82297">
      <w:pPr>
        <w:pStyle w:val="19"/>
        <w:widowControl/>
        <w:numPr>
          <w:ilvl w:val="0"/>
          <w:numId w:val="3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not, in the capacity of Observer, represent the Organization in expressing positions, making commitments or conducting unauthorized activities;</w:t>
      </w:r>
    </w:p>
    <w:p w14:paraId="35E7EC4F">
      <w:pPr>
        <w:pStyle w:val="19"/>
        <w:widowControl/>
        <w:numPr>
          <w:ilvl w:val="0"/>
          <w:numId w:val="3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when participating in activities of the Organization, comply with requirements concerning safety, confidentiality, research integrity, data management, intellectual property and conflicts of interest;</w:t>
      </w:r>
    </w:p>
    <w:p w14:paraId="281F97EF">
      <w:pPr>
        <w:pStyle w:val="19"/>
        <w:widowControl/>
        <w:numPr>
          <w:ilvl w:val="0"/>
          <w:numId w:val="3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bear, as required, the necessary costs arising from participation in specific activities, meetings, training programmes or projects;</w:t>
      </w:r>
    </w:p>
    <w:p w14:paraId="426D6D53">
      <w:pPr>
        <w:pStyle w:val="19"/>
        <w:widowControl/>
        <w:numPr>
          <w:ilvl w:val="0"/>
          <w:numId w:val="38"/>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provide truthful information concerning the institution, project progress, cooperation needs and related matters.</w:t>
      </w:r>
    </w:p>
    <w:p w14:paraId="5EC6899E">
      <w:pPr>
        <w:pStyle w:val="3"/>
        <w:widowControl/>
      </w:pPr>
      <w:r>
        <w:t>IV. FUNDAMENTAL PRINCIPLES FOR FACILITY ACCESS AND COOPERATION</w:t>
      </w:r>
    </w:p>
    <w:p w14:paraId="007FD9E1">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Activities conducted through the platform of the Organization in relation to open access to and shared use of facilities, joint research, technical advisory services, and training and exchange shall be guided by the principles of voluntary participation, consultation on an equal basis, compliance with law and regulation, and controllable risk.</w:t>
      </w:r>
    </w:p>
    <w:p w14:paraId="0DB45469">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The Organization shall primarily provide information dissemination, needs matching, project coordination, expert advisory services and exchange facilitation. It shall support Institutional Members in opening and sharing research facilities and conducting cross-facility use on a voluntary, equal and mutually beneficial basis. Specific matters relating to facility access, conduct of experiments, safety review, site management, allocation of costs, delivery of data, publication of results and ownership of intellectual property shall be determined separately by the facility operator and the applicant in accordance with applicable laws and regulations, facility management requirements and agreements between the parties.</w:t>
      </w:r>
    </w:p>
    <w:p w14:paraId="3643303B">
      <w:pPr>
        <w:pStyle w:val="19"/>
        <w:widowControl/>
        <w:rPr>
          <w:rFonts w:ascii="Times New Roman" w:hAnsi="Times New Roman" w:eastAsia="宋体" w:cs="Times New Roman"/>
          <w:sz w:val="24"/>
          <w:szCs w:val="24"/>
        </w:rPr>
      </w:pPr>
      <w:r>
        <w:rPr>
          <w:rFonts w:ascii="Times New Roman" w:hAnsi="Times New Roman" w:eastAsia="宋体" w:cs="Times New Roman"/>
          <w:sz w:val="24"/>
          <w:szCs w:val="24"/>
        </w:rPr>
        <w:t>A relevant facility operator or the Organization may decline to accept or implement a proposed cooperation activity that exceeds facility capabilities, presents a major safety risk, is inconsistent with the principle of peaceful use, involves an unauthorized sensitive use, or does not comply with applicable laws, regulations or facility management requirements.</w:t>
      </w:r>
    </w:p>
    <w:sectPr>
      <w:headerReference r:id="rId5" w:type="default"/>
      <w:footerReference r:id="rId6" w:type="default"/>
      <w:pgSz w:w="11906" w:h="16838"/>
      <w:pgMar w:top="1276" w:right="1446" w:bottom="1219" w:left="1446" w:header="624" w:footer="624"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思源黑體 Normal"/>
    <w:panose1 w:val="00000000000000000000"/>
    <w:charset w:val="80"/>
    <w:family w:val="roman"/>
    <w:pitch w:val="default"/>
    <w:sig w:usb0="00000000" w:usb1="00000000" w:usb2="00000010" w:usb3="00000000" w:csb0="00020000" w:csb1="00000000"/>
  </w:font>
  <w:font w:name="思源黑體 Normal">
    <w:panose1 w:val="020B0400000000000000"/>
    <w:charset w:val="88"/>
    <w:family w:val="auto"/>
    <w:pitch w:val="default"/>
    <w:sig w:usb0="30000003" w:usb1="2BDF3C10" w:usb2="00000016" w:usb3="00000000" w:csb0="603A0107" w:csb1="00000000"/>
  </w:font>
  <w:font w:name="ＭＳ 明朝">
    <w:altName w:val="宋体"/>
    <w:panose1 w:val="00000000000000000000"/>
    <w:charset w:val="86"/>
    <w:family w:val="auto"/>
    <w:pitch w:val="default"/>
    <w:sig w:usb0="00000000" w:usb1="00000000" w:usb2="00000000" w:usb3="00000000" w:csb0="00000000" w:csb1="00000000"/>
  </w:font>
  <w:font w:name="Courier">
    <w:altName w:val="Courier New"/>
    <w:panose1 w:val="02000500000000000000"/>
    <w:charset w:val="00"/>
    <w:family w:val="auto"/>
    <w:pitch w:val="default"/>
    <w:sig w:usb0="00000000" w:usb1="00000000" w:usb2="00000000" w:usb3="00000000" w:csb0="00000001" w:csb1="00000000"/>
  </w:font>
  <w:font w:name="Calibri Light">
    <w:panose1 w:val="020F0302020204030204"/>
    <w:charset w:val="00"/>
    <w:family w:val="auto"/>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5E51E">
    <w:pPr>
      <w:pStyle w:val="24"/>
      <w:jc w:val="center"/>
    </w:pPr>
    <w:r>
      <w:rPr>
        <w:rFonts w:ascii="Arial" w:hAnsi="Arial"/>
        <w:color w:val="646464"/>
        <w:sz w:val="16"/>
      </w:rPr>
      <w:t xml:space="preserve">INRIO  |  </w:t>
    </w:r>
    <w:r>
      <w:fldChar w:fldCharType="begin"/>
    </w:r>
    <w:r>
      <w:instrText xml:space="preserve"> PAGE </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9" w:lineRule="auto"/>
      </w:pPr>
      <w:r>
        <w:separator/>
      </w:r>
    </w:p>
  </w:footnote>
  <w:footnote w:type="continuationSeparator" w:id="1">
    <w:p>
      <w:pPr>
        <w:spacing w:before="0" w:after="0" w:line="26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1815">
    <w:pPr>
      <w:pStyle w:val="25"/>
      <w:pBdr>
        <w:bottom w:val="single" w:color="B9C5D1" w:sz="6" w:space="2"/>
      </w:pBdr>
      <w:jc w:val="right"/>
    </w:pPr>
    <w:r>
      <w:rPr>
        <w:rFonts w:ascii="Arial" w:hAnsi="Arial"/>
        <w:color w:val="646464"/>
        <w:sz w:val="16"/>
      </w:rPr>
      <w:t>INRIO STATUTE - ENGLISH TRANSLATION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F1FB1"/>
    <w:multiLevelType w:val="singleLevel"/>
    <w:tmpl w:val="977F1FB1"/>
    <w:lvl w:ilvl="0" w:tentative="0">
      <w:start w:val="1"/>
      <w:numFmt w:val="decimal"/>
      <w:suff w:val="space"/>
      <w:lvlText w:val="(%1)"/>
      <w:lvlJc w:val="left"/>
      <w:pPr>
        <w:ind w:left="0" w:firstLine="480"/>
      </w:pPr>
      <w:rPr>
        <w:rFonts w:hint="default"/>
      </w:rPr>
    </w:lvl>
  </w:abstractNum>
  <w:abstractNum w:abstractNumId="1">
    <w:nsid w:val="A35BD7B9"/>
    <w:multiLevelType w:val="singleLevel"/>
    <w:tmpl w:val="A35BD7B9"/>
    <w:lvl w:ilvl="0" w:tentative="0">
      <w:start w:val="1"/>
      <w:numFmt w:val="decimal"/>
      <w:suff w:val="space"/>
      <w:lvlText w:val="(%1)"/>
      <w:lvlJc w:val="left"/>
      <w:pPr>
        <w:ind w:left="0" w:firstLine="480"/>
      </w:pPr>
      <w:rPr>
        <w:rFonts w:hint="default"/>
      </w:rPr>
    </w:lvl>
  </w:abstractNum>
  <w:abstractNum w:abstractNumId="2">
    <w:nsid w:val="AFC710C8"/>
    <w:multiLevelType w:val="singleLevel"/>
    <w:tmpl w:val="AFC710C8"/>
    <w:lvl w:ilvl="0" w:tentative="0">
      <w:start w:val="1"/>
      <w:numFmt w:val="decimal"/>
      <w:suff w:val="space"/>
      <w:lvlText w:val="(%1)"/>
      <w:lvlJc w:val="left"/>
      <w:pPr>
        <w:ind w:left="0" w:firstLine="480"/>
      </w:pPr>
      <w:rPr>
        <w:rFonts w:hint="default"/>
      </w:rPr>
    </w:lvl>
  </w:abstractNum>
  <w:abstractNum w:abstractNumId="3">
    <w:nsid w:val="AFF741AC"/>
    <w:multiLevelType w:val="singleLevel"/>
    <w:tmpl w:val="AFF741AC"/>
    <w:lvl w:ilvl="0" w:tentative="0">
      <w:start w:val="1"/>
      <w:numFmt w:val="decimal"/>
      <w:suff w:val="space"/>
      <w:lvlText w:val="(%1)"/>
      <w:lvlJc w:val="left"/>
      <w:pPr>
        <w:ind w:left="0" w:firstLine="480"/>
      </w:pPr>
      <w:rPr>
        <w:rFonts w:hint="default"/>
      </w:rPr>
    </w:lvl>
  </w:abstractNum>
  <w:abstractNum w:abstractNumId="4">
    <w:nsid w:val="B7368C9F"/>
    <w:multiLevelType w:val="singleLevel"/>
    <w:tmpl w:val="B7368C9F"/>
    <w:lvl w:ilvl="0" w:tentative="0">
      <w:start w:val="1"/>
      <w:numFmt w:val="decimal"/>
      <w:suff w:val="space"/>
      <w:lvlText w:val="(%1)"/>
      <w:lvlJc w:val="left"/>
      <w:pPr>
        <w:ind w:left="0" w:firstLine="480"/>
      </w:pPr>
      <w:rPr>
        <w:rFonts w:hint="default"/>
      </w:rPr>
    </w:lvl>
  </w:abstractNum>
  <w:abstractNum w:abstractNumId="5">
    <w:nsid w:val="BFFE0E57"/>
    <w:multiLevelType w:val="singleLevel"/>
    <w:tmpl w:val="BFFE0E57"/>
    <w:lvl w:ilvl="0" w:tentative="0">
      <w:start w:val="1"/>
      <w:numFmt w:val="upperLetter"/>
      <w:suff w:val="space"/>
      <w:lvlText w:val="(%1)"/>
      <w:lvlJc w:val="left"/>
      <w:pPr>
        <w:ind w:left="0" w:firstLine="0"/>
      </w:pPr>
      <w:rPr>
        <w:rFonts w:hint="default"/>
      </w:rPr>
    </w:lvl>
  </w:abstractNum>
  <w:abstractNum w:abstractNumId="6">
    <w:nsid w:val="BFFFF5AC"/>
    <w:multiLevelType w:val="singleLevel"/>
    <w:tmpl w:val="BFFFF5AC"/>
    <w:lvl w:ilvl="0" w:tentative="0">
      <w:start w:val="1"/>
      <w:numFmt w:val="upperLetter"/>
      <w:suff w:val="space"/>
      <w:lvlText w:val="(%1)"/>
      <w:lvlJc w:val="left"/>
      <w:pPr>
        <w:ind w:left="0" w:firstLine="0"/>
      </w:pPr>
      <w:rPr>
        <w:rFonts w:hint="default"/>
      </w:rPr>
    </w:lvl>
  </w:abstractNum>
  <w:abstractNum w:abstractNumId="7">
    <w:nsid w:val="C52E3D38"/>
    <w:multiLevelType w:val="singleLevel"/>
    <w:tmpl w:val="C52E3D38"/>
    <w:lvl w:ilvl="0" w:tentative="0">
      <w:start w:val="1"/>
      <w:numFmt w:val="upperLetter"/>
      <w:suff w:val="space"/>
      <w:lvlText w:val="(%1)"/>
      <w:lvlJc w:val="left"/>
      <w:pPr>
        <w:ind w:left="0" w:firstLine="0"/>
      </w:pPr>
      <w:rPr>
        <w:rFonts w:hint="default"/>
      </w:rPr>
    </w:lvl>
  </w:abstractNum>
  <w:abstractNum w:abstractNumId="8">
    <w:nsid w:val="CBFEF88C"/>
    <w:multiLevelType w:val="singleLevel"/>
    <w:tmpl w:val="CBFEF88C"/>
    <w:lvl w:ilvl="0" w:tentative="0">
      <w:start w:val="1"/>
      <w:numFmt w:val="decimal"/>
      <w:suff w:val="space"/>
      <w:lvlText w:val="%1."/>
      <w:lvlJc w:val="left"/>
      <w:pPr>
        <w:ind w:left="0" w:firstLine="480"/>
      </w:pPr>
      <w:rPr>
        <w:rFonts w:hint="default"/>
      </w:rPr>
    </w:lvl>
  </w:abstractNum>
  <w:abstractNum w:abstractNumId="9">
    <w:nsid w:val="CFBB83E8"/>
    <w:multiLevelType w:val="singleLevel"/>
    <w:tmpl w:val="CFBB83E8"/>
    <w:lvl w:ilvl="0" w:tentative="0">
      <w:start w:val="1"/>
      <w:numFmt w:val="decimal"/>
      <w:suff w:val="space"/>
      <w:lvlText w:val="(%1)"/>
      <w:lvlJc w:val="left"/>
      <w:pPr>
        <w:ind w:left="0" w:firstLine="480"/>
      </w:pPr>
      <w:rPr>
        <w:rFonts w:hint="default"/>
      </w:rPr>
    </w:lvl>
  </w:abstractNum>
  <w:abstractNum w:abstractNumId="10">
    <w:nsid w:val="D27EED62"/>
    <w:multiLevelType w:val="singleLevel"/>
    <w:tmpl w:val="D27EED62"/>
    <w:lvl w:ilvl="0" w:tentative="0">
      <w:start w:val="1"/>
      <w:numFmt w:val="decimal"/>
      <w:suff w:val="space"/>
      <w:lvlText w:val="(%1)"/>
      <w:lvlJc w:val="left"/>
      <w:pPr>
        <w:ind w:left="0" w:firstLine="480"/>
      </w:pPr>
      <w:rPr>
        <w:rFonts w:hint="default"/>
      </w:rPr>
    </w:lvl>
  </w:abstractNum>
  <w:abstractNum w:abstractNumId="11">
    <w:nsid w:val="DF7E5AA8"/>
    <w:multiLevelType w:val="singleLevel"/>
    <w:tmpl w:val="DF7E5AA8"/>
    <w:lvl w:ilvl="0" w:tentative="0">
      <w:start w:val="1"/>
      <w:numFmt w:val="decimal"/>
      <w:suff w:val="space"/>
      <w:lvlText w:val="(%1)"/>
      <w:lvlJc w:val="left"/>
      <w:pPr>
        <w:ind w:left="0" w:firstLine="480"/>
      </w:pPr>
      <w:rPr>
        <w:rFonts w:hint="default"/>
      </w:rPr>
    </w:lvl>
  </w:abstractNum>
  <w:abstractNum w:abstractNumId="12">
    <w:nsid w:val="E7E3EC86"/>
    <w:multiLevelType w:val="singleLevel"/>
    <w:tmpl w:val="E7E3EC86"/>
    <w:lvl w:ilvl="0" w:tentative="0">
      <w:start w:val="1"/>
      <w:numFmt w:val="decimal"/>
      <w:suff w:val="space"/>
      <w:lvlText w:val="%1."/>
      <w:lvlJc w:val="left"/>
      <w:pPr>
        <w:ind w:left="0" w:firstLine="480"/>
      </w:pPr>
      <w:rPr>
        <w:rFonts w:hint="default"/>
      </w:rPr>
    </w:lvl>
  </w:abstractNum>
  <w:abstractNum w:abstractNumId="13">
    <w:nsid w:val="F3E78688"/>
    <w:multiLevelType w:val="singleLevel"/>
    <w:tmpl w:val="F3E78688"/>
    <w:lvl w:ilvl="0" w:tentative="0">
      <w:start w:val="1"/>
      <w:numFmt w:val="decimal"/>
      <w:suff w:val="space"/>
      <w:lvlText w:val="(%1)"/>
      <w:lvlJc w:val="left"/>
      <w:pPr>
        <w:ind w:left="0" w:firstLine="480"/>
      </w:pPr>
      <w:rPr>
        <w:rFonts w:hint="default"/>
      </w:rPr>
    </w:lvl>
  </w:abstractNum>
  <w:abstractNum w:abstractNumId="14">
    <w:nsid w:val="FB1DC6D4"/>
    <w:multiLevelType w:val="singleLevel"/>
    <w:tmpl w:val="FB1DC6D4"/>
    <w:lvl w:ilvl="0" w:tentative="0">
      <w:start w:val="1"/>
      <w:numFmt w:val="decimal"/>
      <w:suff w:val="space"/>
      <w:lvlText w:val="(%1)"/>
      <w:lvlJc w:val="left"/>
      <w:pPr>
        <w:ind w:left="0" w:firstLine="480"/>
      </w:pPr>
      <w:rPr>
        <w:rFonts w:hint="default"/>
      </w:rPr>
    </w:lvl>
  </w:abstractNum>
  <w:abstractNum w:abstractNumId="15">
    <w:nsid w:val="FBBCA6A1"/>
    <w:multiLevelType w:val="singleLevel"/>
    <w:tmpl w:val="FBBCA6A1"/>
    <w:lvl w:ilvl="0" w:tentative="0">
      <w:start w:val="1"/>
      <w:numFmt w:val="decimal"/>
      <w:suff w:val="space"/>
      <w:lvlText w:val="(%1)"/>
      <w:lvlJc w:val="left"/>
      <w:pPr>
        <w:ind w:left="0" w:firstLine="480"/>
      </w:pPr>
      <w:rPr>
        <w:rFonts w:hint="default"/>
      </w:rPr>
    </w:lvl>
  </w:abstractNum>
  <w:abstractNum w:abstractNumId="16">
    <w:nsid w:val="FD0EFEDE"/>
    <w:multiLevelType w:val="singleLevel"/>
    <w:tmpl w:val="FD0EFEDE"/>
    <w:lvl w:ilvl="0" w:tentative="0">
      <w:start w:val="1"/>
      <w:numFmt w:val="decimal"/>
      <w:suff w:val="space"/>
      <w:lvlText w:val="%1."/>
      <w:lvlJc w:val="left"/>
      <w:pPr>
        <w:ind w:left="0" w:firstLine="480"/>
      </w:pPr>
      <w:rPr>
        <w:rFonts w:hint="default"/>
      </w:rPr>
    </w:lvl>
  </w:abstractNum>
  <w:abstractNum w:abstractNumId="17">
    <w:nsid w:val="FDE8CF46"/>
    <w:multiLevelType w:val="singleLevel"/>
    <w:tmpl w:val="FDE8CF46"/>
    <w:lvl w:ilvl="0" w:tentative="0">
      <w:start w:val="1"/>
      <w:numFmt w:val="decimal"/>
      <w:suff w:val="space"/>
      <w:lvlText w:val="(%1)"/>
      <w:lvlJc w:val="left"/>
      <w:pPr>
        <w:ind w:left="0" w:firstLine="480"/>
      </w:pPr>
      <w:rPr>
        <w:rFonts w:hint="default"/>
      </w:rPr>
    </w:lvl>
  </w:abstractNum>
  <w:abstractNum w:abstractNumId="18">
    <w:nsid w:val="FE63E50B"/>
    <w:multiLevelType w:val="singleLevel"/>
    <w:tmpl w:val="FE63E50B"/>
    <w:lvl w:ilvl="0" w:tentative="0">
      <w:start w:val="1"/>
      <w:numFmt w:val="decimal"/>
      <w:suff w:val="space"/>
      <w:lvlText w:val="(%1)"/>
      <w:lvlJc w:val="left"/>
      <w:pPr>
        <w:ind w:left="0" w:firstLine="480"/>
      </w:pPr>
      <w:rPr>
        <w:rFonts w:hint="default"/>
      </w:rPr>
    </w:lvl>
  </w:abstractNum>
  <w:abstractNum w:abstractNumId="19">
    <w:nsid w:val="FE6C99F5"/>
    <w:multiLevelType w:val="singleLevel"/>
    <w:tmpl w:val="FE6C99F5"/>
    <w:lvl w:ilvl="0" w:tentative="0">
      <w:start w:val="1"/>
      <w:numFmt w:val="decimal"/>
      <w:suff w:val="space"/>
      <w:lvlText w:val="(%1)"/>
      <w:lvlJc w:val="left"/>
      <w:pPr>
        <w:ind w:left="0" w:firstLine="480"/>
      </w:pPr>
      <w:rPr>
        <w:rFonts w:hint="default"/>
      </w:rPr>
    </w:lvl>
  </w:abstractNum>
  <w:abstractNum w:abstractNumId="20">
    <w:nsid w:val="FEBD8968"/>
    <w:multiLevelType w:val="singleLevel"/>
    <w:tmpl w:val="FEBD8968"/>
    <w:lvl w:ilvl="0" w:tentative="0">
      <w:start w:val="1"/>
      <w:numFmt w:val="decimal"/>
      <w:suff w:val="space"/>
      <w:lvlText w:val="%1."/>
      <w:lvlJc w:val="left"/>
      <w:pPr>
        <w:ind w:left="0" w:firstLine="480"/>
      </w:pPr>
      <w:rPr>
        <w:rFonts w:hint="default"/>
      </w:rPr>
    </w:lvl>
  </w:abstractNum>
  <w:abstractNum w:abstractNumId="21">
    <w:nsid w:val="FECED0AB"/>
    <w:multiLevelType w:val="singleLevel"/>
    <w:tmpl w:val="FECED0AB"/>
    <w:lvl w:ilvl="0" w:tentative="0">
      <w:start w:val="1"/>
      <w:numFmt w:val="decimal"/>
      <w:suff w:val="space"/>
      <w:lvlText w:val="(%1)"/>
      <w:lvlJc w:val="left"/>
      <w:pPr>
        <w:ind w:left="0" w:firstLine="480"/>
      </w:pPr>
      <w:rPr>
        <w:rFonts w:hint="default"/>
      </w:rPr>
    </w:lvl>
  </w:abstractNum>
  <w:abstractNum w:abstractNumId="2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2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2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2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28">
    <w:nsid w:val="1F2B8AFC"/>
    <w:multiLevelType w:val="singleLevel"/>
    <w:tmpl w:val="1F2B8AFC"/>
    <w:lvl w:ilvl="0" w:tentative="0">
      <w:start w:val="1"/>
      <w:numFmt w:val="decimal"/>
      <w:suff w:val="space"/>
      <w:lvlText w:val="(%1)"/>
      <w:lvlJc w:val="left"/>
      <w:pPr>
        <w:ind w:left="0" w:firstLine="480"/>
      </w:pPr>
      <w:rPr>
        <w:rFonts w:hint="default"/>
      </w:rPr>
    </w:lvl>
  </w:abstractNum>
  <w:abstractNum w:abstractNumId="29">
    <w:nsid w:val="3ABFDA78"/>
    <w:multiLevelType w:val="singleLevel"/>
    <w:tmpl w:val="3ABFDA78"/>
    <w:lvl w:ilvl="0" w:tentative="0">
      <w:start w:val="1"/>
      <w:numFmt w:val="decimal"/>
      <w:suff w:val="space"/>
      <w:lvlText w:val="(%1)"/>
      <w:lvlJc w:val="left"/>
      <w:pPr>
        <w:ind w:left="0" w:firstLine="480"/>
      </w:pPr>
      <w:rPr>
        <w:rFonts w:hint="default"/>
      </w:rPr>
    </w:lvl>
  </w:abstractNum>
  <w:abstractNum w:abstractNumId="30">
    <w:nsid w:val="4FFF988F"/>
    <w:multiLevelType w:val="singleLevel"/>
    <w:tmpl w:val="4FFF988F"/>
    <w:lvl w:ilvl="0" w:tentative="0">
      <w:start w:val="1"/>
      <w:numFmt w:val="decimal"/>
      <w:suff w:val="space"/>
      <w:lvlText w:val="(%1)"/>
      <w:lvlJc w:val="left"/>
      <w:pPr>
        <w:ind w:left="0" w:firstLine="480"/>
      </w:pPr>
      <w:rPr>
        <w:rFonts w:hint="default"/>
      </w:rPr>
    </w:lvl>
  </w:abstractNum>
  <w:abstractNum w:abstractNumId="31">
    <w:nsid w:val="5F8E246A"/>
    <w:multiLevelType w:val="singleLevel"/>
    <w:tmpl w:val="5F8E246A"/>
    <w:lvl w:ilvl="0" w:tentative="0">
      <w:start w:val="1"/>
      <w:numFmt w:val="decimal"/>
      <w:suff w:val="space"/>
      <w:lvlText w:val="(%1)"/>
      <w:lvlJc w:val="left"/>
      <w:pPr>
        <w:ind w:left="0" w:firstLine="480"/>
      </w:pPr>
      <w:rPr>
        <w:rFonts w:hint="default"/>
      </w:rPr>
    </w:lvl>
  </w:abstractNum>
  <w:abstractNum w:abstractNumId="32">
    <w:nsid w:val="6EFE71E2"/>
    <w:multiLevelType w:val="singleLevel"/>
    <w:tmpl w:val="6EFE71E2"/>
    <w:lvl w:ilvl="0" w:tentative="0">
      <w:start w:val="1"/>
      <w:numFmt w:val="decimal"/>
      <w:suff w:val="space"/>
      <w:lvlText w:val="(%1)"/>
      <w:lvlJc w:val="left"/>
      <w:pPr>
        <w:ind w:left="0" w:firstLine="480"/>
      </w:pPr>
      <w:rPr>
        <w:rFonts w:hint="default"/>
      </w:rPr>
    </w:lvl>
  </w:abstractNum>
  <w:abstractNum w:abstractNumId="33">
    <w:nsid w:val="6F642B5C"/>
    <w:multiLevelType w:val="singleLevel"/>
    <w:tmpl w:val="6F642B5C"/>
    <w:lvl w:ilvl="0" w:tentative="0">
      <w:start w:val="1"/>
      <w:numFmt w:val="decimal"/>
      <w:suff w:val="space"/>
      <w:lvlText w:val="%1."/>
      <w:lvlJc w:val="left"/>
      <w:pPr>
        <w:ind w:left="0" w:firstLine="480"/>
      </w:pPr>
      <w:rPr>
        <w:rFonts w:hint="default"/>
      </w:rPr>
    </w:lvl>
  </w:abstractNum>
  <w:abstractNum w:abstractNumId="34">
    <w:nsid w:val="71A87C6F"/>
    <w:multiLevelType w:val="singleLevel"/>
    <w:tmpl w:val="71A87C6F"/>
    <w:lvl w:ilvl="0" w:tentative="0">
      <w:start w:val="1"/>
      <w:numFmt w:val="decimal"/>
      <w:suff w:val="space"/>
      <w:lvlText w:val="(%1)"/>
      <w:lvlJc w:val="left"/>
      <w:pPr>
        <w:ind w:left="0" w:firstLine="480"/>
      </w:pPr>
      <w:rPr>
        <w:rFonts w:hint="default"/>
      </w:rPr>
    </w:lvl>
  </w:abstractNum>
  <w:abstractNum w:abstractNumId="35">
    <w:nsid w:val="7B5EF349"/>
    <w:multiLevelType w:val="singleLevel"/>
    <w:tmpl w:val="7B5EF349"/>
    <w:lvl w:ilvl="0" w:tentative="0">
      <w:start w:val="1"/>
      <w:numFmt w:val="decimal"/>
      <w:suff w:val="space"/>
      <w:lvlText w:val="(%1)"/>
      <w:lvlJc w:val="left"/>
      <w:pPr>
        <w:ind w:left="0" w:firstLine="480"/>
      </w:pPr>
      <w:rPr>
        <w:rFonts w:hint="default"/>
      </w:rPr>
    </w:lvl>
  </w:abstractNum>
  <w:abstractNum w:abstractNumId="36">
    <w:nsid w:val="7DCF4CAF"/>
    <w:multiLevelType w:val="singleLevel"/>
    <w:tmpl w:val="7DCF4CAF"/>
    <w:lvl w:ilvl="0" w:tentative="0">
      <w:start w:val="1"/>
      <w:numFmt w:val="decimal"/>
      <w:suff w:val="space"/>
      <w:lvlText w:val="(%1)"/>
      <w:lvlJc w:val="left"/>
      <w:pPr>
        <w:ind w:left="0" w:firstLine="480"/>
      </w:pPr>
      <w:rPr>
        <w:rFonts w:hint="default"/>
      </w:rPr>
    </w:lvl>
  </w:abstractNum>
  <w:abstractNum w:abstractNumId="37">
    <w:nsid w:val="7FF9AAC5"/>
    <w:multiLevelType w:val="singleLevel"/>
    <w:tmpl w:val="7FF9AAC5"/>
    <w:lvl w:ilvl="0" w:tentative="0">
      <w:start w:val="1"/>
      <w:numFmt w:val="decimal"/>
      <w:suff w:val="space"/>
      <w:lvlText w:val="%1."/>
      <w:lvlJc w:val="left"/>
      <w:pPr>
        <w:ind w:left="0" w:firstLine="480"/>
      </w:pPr>
      <w:rPr>
        <w:rFonts w:hint="default"/>
      </w:rPr>
    </w:lvl>
  </w:abstractNum>
  <w:num w:numId="1">
    <w:abstractNumId w:val="23"/>
  </w:num>
  <w:num w:numId="2">
    <w:abstractNumId w:val="26"/>
  </w:num>
  <w:num w:numId="3">
    <w:abstractNumId w:val="27"/>
  </w:num>
  <w:num w:numId="4">
    <w:abstractNumId w:val="24"/>
  </w:num>
  <w:num w:numId="5">
    <w:abstractNumId w:val="22"/>
  </w:num>
  <w:num w:numId="6">
    <w:abstractNumId w:val="25"/>
  </w:num>
  <w:num w:numId="7">
    <w:abstractNumId w:val="21"/>
  </w:num>
  <w:num w:numId="8">
    <w:abstractNumId w:val="10"/>
  </w:num>
  <w:num w:numId="9">
    <w:abstractNumId w:val="0"/>
  </w:num>
  <w:num w:numId="10">
    <w:abstractNumId w:val="17"/>
  </w:num>
  <w:num w:numId="11">
    <w:abstractNumId w:val="11"/>
  </w:num>
  <w:num w:numId="12">
    <w:abstractNumId w:val="35"/>
  </w:num>
  <w:num w:numId="13">
    <w:abstractNumId w:val="32"/>
  </w:num>
  <w:num w:numId="14">
    <w:abstractNumId w:val="1"/>
  </w:num>
  <w:num w:numId="15">
    <w:abstractNumId w:val="14"/>
  </w:num>
  <w:num w:numId="16">
    <w:abstractNumId w:val="29"/>
  </w:num>
  <w:num w:numId="17">
    <w:abstractNumId w:val="28"/>
  </w:num>
  <w:num w:numId="18">
    <w:abstractNumId w:val="2"/>
  </w:num>
  <w:num w:numId="19">
    <w:abstractNumId w:val="31"/>
  </w:num>
  <w:num w:numId="20">
    <w:abstractNumId w:val="9"/>
  </w:num>
  <w:num w:numId="21">
    <w:abstractNumId w:val="3"/>
  </w:num>
  <w:num w:numId="22">
    <w:abstractNumId w:val="18"/>
  </w:num>
  <w:num w:numId="23">
    <w:abstractNumId w:val="34"/>
  </w:num>
  <w:num w:numId="24">
    <w:abstractNumId w:val="13"/>
  </w:num>
  <w:num w:numId="25">
    <w:abstractNumId w:val="15"/>
  </w:num>
  <w:num w:numId="26">
    <w:abstractNumId w:val="36"/>
  </w:num>
  <w:num w:numId="27">
    <w:abstractNumId w:val="19"/>
  </w:num>
  <w:num w:numId="28">
    <w:abstractNumId w:val="30"/>
  </w:num>
  <w:num w:numId="29">
    <w:abstractNumId w:val="4"/>
  </w:num>
  <w:num w:numId="30">
    <w:abstractNumId w:val="7"/>
  </w:num>
  <w:num w:numId="31">
    <w:abstractNumId w:val="12"/>
  </w:num>
  <w:num w:numId="32">
    <w:abstractNumId w:val="33"/>
  </w:num>
  <w:num w:numId="33">
    <w:abstractNumId w:val="5"/>
  </w:num>
  <w:num w:numId="34">
    <w:abstractNumId w:val="37"/>
  </w:num>
  <w:num w:numId="35">
    <w:abstractNumId w:val="8"/>
  </w:num>
  <w:num w:numId="36">
    <w:abstractNumId w:val="6"/>
  </w:num>
  <w:num w:numId="37">
    <w:abstractNumId w:val="20"/>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drawingGridHorizontalSpacing w:val="158"/>
  <w:drawingGridVerticalSpacing w:val="290"/>
  <w:displayHorizontalDrawingGridEvery w:val="2"/>
  <w:displayVerticalDrawingGridEvery w:val="2"/>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FB7A509"/>
    <w:rsid w:val="3FA3449B"/>
    <w:rsid w:val="61C8613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80" w:line="269" w:lineRule="auto"/>
      <w:jc w:val="both"/>
    </w:pPr>
    <w:rPr>
      <w:rFonts w:ascii="Times New Roman" w:hAnsi="Times New Roman" w:eastAsia="Times New Roman" w:cstheme="minorBidi"/>
      <w:color w:val="141414"/>
      <w:sz w:val="21"/>
      <w:szCs w:val="22"/>
      <w:lang w:val="en-US" w:eastAsia="en-US" w:bidi="ar-SA"/>
    </w:rPr>
  </w:style>
  <w:style w:type="paragraph" w:styleId="3">
    <w:name w:val="heading 1"/>
    <w:next w:val="1"/>
    <w:link w:val="138"/>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4">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unhideWhenUsed/>
    <w:qFormat/>
    <w:uiPriority w:val="9"/>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link w:val="150"/>
    <w:semiHidden/>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link w:val="151"/>
    <w:semiHidden/>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link w:val="152"/>
    <w:semiHidden/>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link w:val="153"/>
    <w:semiHidden/>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link w:val="154"/>
    <w:semiHidden/>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link w:val="155"/>
    <w:semiHidden/>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874CB"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unhideWhenUsed/>
    <w:qFormat/>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next w:val="1"/>
    <w:qFormat/>
    <w:uiPriority w:val="11"/>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next w:val="1"/>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2E54A1" w:themeColor="accent1" w:themeShade="BF"/>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36">
    <w:name w:val="Light Shading Accent 2"/>
    <w:basedOn w:val="32"/>
    <w:qFormat/>
    <w:uiPriority w:val="60"/>
    <w:pPr>
      <w:spacing w:after="0" w:line="240" w:lineRule="auto"/>
    </w:pPr>
    <w:rPr>
      <w:color w:val="C65F10" w:themeColor="accent2" w:themeShade="BF"/>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37">
    <w:name w:val="Light Shading Accent 3"/>
    <w:basedOn w:val="32"/>
    <w:qFormat/>
    <w:uiPriority w:val="60"/>
    <w:pPr>
      <w:spacing w:after="0" w:line="240" w:lineRule="auto"/>
    </w:pPr>
    <w:rPr>
      <w:color w:val="B68C02" w:themeColor="accent3" w:themeShade="BF"/>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38">
    <w:name w:val="Light Shading Accent 4"/>
    <w:basedOn w:val="32"/>
    <w:qFormat/>
    <w:uiPriority w:val="60"/>
    <w:pPr>
      <w:spacing w:after="0" w:line="240" w:lineRule="auto"/>
    </w:pPr>
    <w:rPr>
      <w:color w:val="588E32" w:themeColor="accent4" w:themeShade="BF"/>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39">
    <w:name w:val="Light Shading Accent 5"/>
    <w:basedOn w:val="32"/>
    <w:qFormat/>
    <w:uiPriority w:val="60"/>
    <w:pPr>
      <w:spacing w:after="0" w:line="240" w:lineRule="auto"/>
    </w:pPr>
    <w:rPr>
      <w:color w:val="249087" w:themeColor="accent5" w:themeShade="BF"/>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40">
    <w:name w:val="Light Shading Accent 6"/>
    <w:basedOn w:val="32"/>
    <w:qFormat/>
    <w:uiPriority w:val="60"/>
    <w:pPr>
      <w:spacing w:after="0" w:line="240" w:lineRule="auto"/>
    </w:pPr>
    <w:rPr>
      <w:color w:val="C81D31" w:themeColor="accent6" w:themeShade="BF"/>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43">
    <w:name w:val="Light List Accent 2"/>
    <w:basedOn w:val="32"/>
    <w:qFormat/>
    <w:uiPriority w:val="61"/>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44">
    <w:name w:val="Light List Accent 3"/>
    <w:basedOn w:val="32"/>
    <w:qFormat/>
    <w:uiPriority w:val="61"/>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45">
    <w:name w:val="Light List Accent 4"/>
    <w:basedOn w:val="32"/>
    <w:uiPriority w:val="61"/>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46">
    <w:name w:val="Light List Accent 5"/>
    <w:basedOn w:val="32"/>
    <w:qFormat/>
    <w:uiPriority w:val="61"/>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47">
    <w:name w:val="Light List Accent 6"/>
    <w:basedOn w:val="32"/>
    <w:qFormat/>
    <w:uiPriority w:val="61"/>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CellMar>
        <w:top w:w="0" w:type="dxa"/>
        <w:left w:w="108" w:type="dxa"/>
        <w:bottom w:w="0" w:type="dxa"/>
        <w:right w:w="108" w:type="dxa"/>
      </w:tblCellMar>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85">
    <w:name w:val="Medium Grid 1 Accent 2"/>
    <w:basedOn w:val="32"/>
    <w:qFormat/>
    <w:uiPriority w:val="67"/>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CellMar>
        <w:top w:w="0" w:type="dxa"/>
        <w:left w:w="108" w:type="dxa"/>
        <w:bottom w:w="0" w:type="dxa"/>
        <w:right w:w="108" w:type="dxa"/>
      </w:tblCellMar>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86">
    <w:name w:val="Medium Grid 1 Accent 3"/>
    <w:basedOn w:val="32"/>
    <w:uiPriority w:val="67"/>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CellMar>
        <w:top w:w="0" w:type="dxa"/>
        <w:left w:w="108" w:type="dxa"/>
        <w:bottom w:w="0" w:type="dxa"/>
        <w:right w:w="108" w:type="dxa"/>
      </w:tblCellMar>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87">
    <w:name w:val="Medium Grid 1 Accent 4"/>
    <w:basedOn w:val="32"/>
    <w:qFormat/>
    <w:uiPriority w:val="67"/>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CellMar>
        <w:top w:w="0" w:type="dxa"/>
        <w:left w:w="108" w:type="dxa"/>
        <w:bottom w:w="0" w:type="dxa"/>
        <w:right w:w="108" w:type="dxa"/>
      </w:tblCellMar>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88">
    <w:name w:val="Medium Grid 1 Accent 5"/>
    <w:basedOn w:val="32"/>
    <w:qFormat/>
    <w:uiPriority w:val="67"/>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CellMar>
        <w:top w:w="0" w:type="dxa"/>
        <w:left w:w="108" w:type="dxa"/>
        <w:bottom w:w="0" w:type="dxa"/>
        <w:right w:w="108" w:type="dxa"/>
      </w:tblCellMar>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89">
    <w:name w:val="Medium Grid 1 Accent 6"/>
    <w:basedOn w:val="32"/>
    <w:uiPriority w:val="67"/>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CellMar>
        <w:top w:w="0" w:type="dxa"/>
        <w:left w:w="108" w:type="dxa"/>
        <w:bottom w:w="0" w:type="dxa"/>
        <w:right w:w="108" w:type="dxa"/>
      </w:tblCellMar>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imes New Roman" w:hAnsi="Times New Roman" w:eastAsia="黑体" w:cs="Times New Roman"/>
      <w:color w:val="000000"/>
      <w:kern w:val="44"/>
      <w:sz w:val="32"/>
      <w:szCs w:val="44"/>
    </w:rPr>
  </w:style>
  <w:style w:type="character" w:customStyle="1" w:styleId="139">
    <w:name w:val="Heading 2 Char"/>
    <w:basedOn w:val="132"/>
    <w:qFormat/>
    <w:uiPriority w:val="9"/>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customStyle="1" w:styleId="140">
    <w:name w:val="Heading 3 Char"/>
    <w:basedOn w:val="132"/>
    <w:qFormat/>
    <w:uiPriority w:val="9"/>
    <w:rPr>
      <w:rFonts w:asciiTheme="majorHAnsi" w:hAnsiTheme="majorHAnsi" w:eastAsiaTheme="majorEastAsia" w:cstheme="majorBidi"/>
      <w:b/>
      <w:bCs/>
      <w:color w:val="4874CB" w:themeColor="accent1"/>
      <w14:textFill>
        <w14:solidFill>
          <w14:schemeClr w14:val="accent1"/>
        </w14:solidFill>
      </w14:textFill>
    </w:rPr>
  </w:style>
  <w:style w:type="character" w:customStyle="1" w:styleId="141">
    <w:name w:val="Title Char"/>
    <w:basedOn w:val="132"/>
    <w:qFormat/>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42">
    <w:name w:val="Subtitle Char"/>
    <w:basedOn w:val="132"/>
    <w:qFormat/>
    <w:uiPriority w:val="11"/>
    <w:rPr>
      <w:rFonts w:asciiTheme="majorHAnsi" w:hAnsiTheme="majorHAnsi" w:eastAsiaTheme="majorEastAsia" w:cstheme="majorBidi"/>
      <w:i/>
      <w:iCs/>
      <w:color w:val="4874CB"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imes New Roman" w:hAnsi="Times New Roman" w:eastAsia="黑体" w:cs="Times New Roman"/>
      <w:bCs/>
      <w:kern w:val="2"/>
      <w:sz w:val="28"/>
      <w:szCs w:val="28"/>
    </w:rPr>
  </w:style>
  <w:style w:type="character" w:customStyle="1" w:styleId="151">
    <w:name w:val="Heading 5 Char"/>
    <w:basedOn w:val="132"/>
    <w:link w:val="7"/>
    <w:semiHidden/>
    <w:qFormat/>
    <w:uiPriority w:val="9"/>
    <w:rPr>
      <w:rFonts w:ascii="Times New Roman" w:hAnsi="Times New Roman" w:eastAsia="黑体" w:cs="Times New Roman"/>
      <w:bCs/>
      <w:kern w:val="2"/>
      <w:sz w:val="28"/>
      <w:szCs w:val="28"/>
    </w:rPr>
  </w:style>
  <w:style w:type="character" w:customStyle="1" w:styleId="152">
    <w:name w:val="Heading 6 Char"/>
    <w:basedOn w:val="132"/>
    <w:link w:val="8"/>
    <w:semiHidden/>
    <w:qFormat/>
    <w:uiPriority w:val="9"/>
    <w:rPr>
      <w:rFonts w:ascii="Times New Roman" w:hAnsi="Times New Roman" w:eastAsia="黑体" w:cs="Times New Roman"/>
      <w:bCs/>
      <w:kern w:val="2"/>
      <w:sz w:val="28"/>
      <w:szCs w:val="24"/>
    </w:rPr>
  </w:style>
  <w:style w:type="character" w:customStyle="1" w:styleId="153">
    <w:name w:val="Heading 7 Char"/>
    <w:basedOn w:val="132"/>
    <w:link w:val="9"/>
    <w:semiHidden/>
    <w:qFormat/>
    <w:uiPriority w:val="9"/>
    <w:rPr>
      <w:rFonts w:ascii="Times New Roman" w:hAnsi="Times New Roman" w:eastAsia="黑体" w:cs="Times New Roman"/>
      <w:bCs/>
      <w:kern w:val="2"/>
      <w:sz w:val="24"/>
      <w:szCs w:val="24"/>
    </w:rPr>
  </w:style>
  <w:style w:type="character" w:customStyle="1" w:styleId="154">
    <w:name w:val="Heading 8 Char"/>
    <w:basedOn w:val="132"/>
    <w:link w:val="10"/>
    <w:semiHidden/>
    <w:qFormat/>
    <w:uiPriority w:val="9"/>
    <w:rPr>
      <w:rFonts w:ascii="Times New Roman" w:hAnsi="Times New Roman" w:eastAsia="黑体" w:cs="Times New Roman"/>
      <w:kern w:val="2"/>
      <w:sz w:val="24"/>
      <w:szCs w:val="24"/>
    </w:rPr>
  </w:style>
  <w:style w:type="character" w:customStyle="1" w:styleId="155">
    <w:name w:val="Heading 9 Char"/>
    <w:basedOn w:val="132"/>
    <w:link w:val="11"/>
    <w:semiHidden/>
    <w:qFormat/>
    <w:uiPriority w:val="9"/>
    <w:rPr>
      <w:rFonts w:ascii="Times New Roman" w:hAnsi="Times New Roman" w:eastAsia="黑体" w:cs="Times New Roman"/>
      <w:kern w:val="2"/>
      <w:sz w:val="21"/>
      <w:szCs w:val="21"/>
    </w:rPr>
  </w:style>
  <w:style w:type="paragraph" w:styleId="156">
    <w:name w:val="Intense Quote"/>
    <w:basedOn w:val="1"/>
    <w:next w:val="1"/>
    <w:link w:val="157"/>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157">
    <w:name w:val="Intense Quote Char"/>
    <w:basedOn w:val="132"/>
    <w:link w:val="156"/>
    <w:qFormat/>
    <w:uiPriority w:val="30"/>
    <w:rPr>
      <w:b/>
      <w:bCs/>
      <w:i/>
      <w:iCs/>
      <w:color w:val="4874CB"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874CB" w:themeColor="accent1"/>
      <w14:textFill>
        <w14:solidFill>
          <w14:schemeClr w14:val="accent1"/>
        </w14:solidFill>
      </w14:textFill>
    </w:rPr>
  </w:style>
  <w:style w:type="character" w:customStyle="1" w:styleId="160">
    <w:name w:val="Subtle Reference"/>
    <w:basedOn w:val="132"/>
    <w:qFormat/>
    <w:uiPriority w:val="31"/>
    <w:rPr>
      <w:smallCaps/>
      <w:color w:val="EE822F" w:themeColor="accent2"/>
      <w:u w:val="single"/>
      <w14:textFill>
        <w14:solidFill>
          <w14:schemeClr w14:val="accent2"/>
        </w14:solidFill>
      </w14:textFill>
    </w:rPr>
  </w:style>
  <w:style w:type="character" w:customStyle="1" w:styleId="161">
    <w:name w:val="Intense Reference"/>
    <w:basedOn w:val="132"/>
    <w:qFormat/>
    <w:uiPriority w:val="32"/>
    <w:rPr>
      <w:b/>
      <w:bCs/>
      <w:smallCaps/>
      <w:color w:val="EE822F"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Cover Organization"/>
    <w:basedOn w:val="1"/>
    <w:qFormat/>
    <w:uiPriority w:val="0"/>
    <w:pPr>
      <w:spacing w:after="160"/>
      <w:jc w:val="center"/>
    </w:pPr>
    <w:rPr>
      <w:rFonts w:ascii="Arial" w:hAnsi="Arial" w:eastAsia="Arial"/>
      <w:b/>
      <w:color w:val="193757"/>
      <w:sz w:val="28"/>
    </w:rPr>
  </w:style>
  <w:style w:type="paragraph" w:customStyle="1" w:styleId="165">
    <w:name w:val="Cover Title"/>
    <w:basedOn w:val="1"/>
    <w:uiPriority w:val="0"/>
    <w:pPr>
      <w:spacing w:after="160"/>
      <w:jc w:val="center"/>
    </w:pPr>
    <w:rPr>
      <w:rFonts w:ascii="Arial" w:hAnsi="Arial" w:eastAsia="Arial"/>
      <w:b/>
      <w:color w:val="193757"/>
      <w:sz w:val="56"/>
    </w:rPr>
  </w:style>
  <w:style w:type="paragraph" w:customStyle="1" w:styleId="166">
    <w:name w:val="Cover Subtitle"/>
    <w:basedOn w:val="1"/>
    <w:uiPriority w:val="0"/>
    <w:pPr>
      <w:spacing w:after="120"/>
      <w:jc w:val="center"/>
    </w:pPr>
    <w:rPr>
      <w:rFonts w:ascii="Arial" w:hAnsi="Arial" w:eastAsia="Arial"/>
      <w:color w:val="465C74"/>
      <w:sz w:val="26"/>
    </w:rPr>
  </w:style>
  <w:style w:type="paragraph" w:customStyle="1" w:styleId="167">
    <w:name w:val="Chapter Heading"/>
    <w:basedOn w:val="1"/>
    <w:qFormat/>
    <w:uiPriority w:val="0"/>
    <w:pPr>
      <w:keepNext/>
      <w:pageBreakBefore w:val="0"/>
      <w:spacing w:before="280" w:after="160"/>
      <w:jc w:val="left"/>
    </w:pPr>
    <w:rPr>
      <w:rFonts w:ascii="Arial" w:hAnsi="Arial" w:eastAsia="Arial"/>
      <w:b/>
      <w:color w:val="193757"/>
      <w:sz w:val="28"/>
    </w:rPr>
  </w:style>
  <w:style w:type="paragraph" w:customStyle="1" w:styleId="168">
    <w:name w:val="Section Heading"/>
    <w:basedOn w:val="1"/>
    <w:qFormat/>
    <w:uiPriority w:val="0"/>
    <w:pPr>
      <w:keepNext/>
      <w:spacing w:before="200" w:after="100"/>
    </w:pPr>
    <w:rPr>
      <w:rFonts w:ascii="Arial" w:hAnsi="Arial" w:eastAsia="Arial"/>
      <w:b/>
      <w:color w:val="465C74"/>
      <w:sz w:val="23"/>
    </w:rPr>
  </w:style>
  <w:style w:type="paragraph" w:customStyle="1" w:styleId="169">
    <w:name w:val="Article Text"/>
    <w:basedOn w:val="1"/>
    <w:qFormat/>
    <w:uiPriority w:val="0"/>
    <w:pPr>
      <w:widowControl/>
      <w:spacing w:before="80" w:after="80" w:line="269" w:lineRule="auto"/>
      <w:ind w:left="0" w:right="0" w:firstLine="0"/>
      <w:jc w:val="both"/>
    </w:pPr>
    <w:rPr>
      <w:rFonts w:ascii="Times New Roman" w:hAnsi="Times New Roman" w:eastAsia="Times New Roman"/>
      <w:sz w:val="21"/>
    </w:rPr>
  </w:style>
  <w:style w:type="paragraph" w:customStyle="1" w:styleId="170">
    <w:name w:val="Clause Text"/>
    <w:basedOn w:val="1"/>
    <w:qFormat/>
    <w:uiPriority w:val="0"/>
    <w:pPr>
      <w:widowControl/>
      <w:spacing w:after="50" w:line="264" w:lineRule="auto"/>
      <w:ind w:left="408" w:hanging="408"/>
      <w:jc w:val="both"/>
    </w:pPr>
    <w:rPr>
      <w:rFonts w:ascii="Times New Roman" w:hAnsi="Times New Roman" w:eastAsia="Times New Roman"/>
      <w:sz w:val="21"/>
    </w:rPr>
  </w:style>
  <w:style w:type="paragraph" w:customStyle="1" w:styleId="171">
    <w:name w:val="Continuation Text"/>
    <w:basedOn w:val="1"/>
    <w:qFormat/>
    <w:uiPriority w:val="0"/>
    <w:pPr>
      <w:widowControl/>
      <w:spacing w:after="80" w:line="269" w:lineRule="auto"/>
      <w:jc w:val="both"/>
    </w:pPr>
    <w:rPr>
      <w:rFonts w:ascii="Times New Roman" w:hAnsi="Times New Roman" w:eastAsia="Times New Roman"/>
      <w:sz w:val="21"/>
    </w:rPr>
  </w:style>
  <w:style w:type="paragraph" w:customStyle="1" w:styleId="172">
    <w:name w:val="Annex Heading"/>
    <w:basedOn w:val="1"/>
    <w:uiPriority w:val="0"/>
    <w:pPr>
      <w:keepNext/>
      <w:spacing w:after="160"/>
      <w:jc w:val="center"/>
    </w:pPr>
    <w:rPr>
      <w:rFonts w:ascii="Arial" w:hAnsi="Arial" w:eastAsia="Arial"/>
      <w:b/>
      <w:color w:val="193757"/>
      <w:sz w:val="32"/>
    </w:rPr>
  </w:style>
  <w:style w:type="paragraph" w:customStyle="1" w:styleId="173">
    <w:name w:val="Annex Section"/>
    <w:basedOn w:val="1"/>
    <w:uiPriority w:val="0"/>
    <w:pPr>
      <w:keepNext/>
      <w:spacing w:before="200" w:after="100"/>
    </w:pPr>
    <w:rPr>
      <w:rFonts w:ascii="Arial" w:hAnsi="Arial" w:eastAsia="Arial"/>
      <w:b/>
      <w:color w:val="193757"/>
      <w:sz w:val="24"/>
    </w:rPr>
  </w:style>
  <w:style w:type="paragraph" w:customStyle="1" w:styleId="174">
    <w:name w:val="Annex Subsection"/>
    <w:basedOn w:val="1"/>
    <w:uiPriority w:val="0"/>
    <w:pPr>
      <w:keepNext/>
      <w:spacing w:before="120" w:after="60"/>
    </w:pPr>
    <w:rPr>
      <w:rFonts w:ascii="Arial" w:hAnsi="Arial" w:eastAsia="Arial"/>
      <w:b/>
      <w:color w:val="465C74"/>
      <w:sz w:val="21"/>
    </w:rPr>
  </w:style>
  <w:style w:type="paragraph" w:customStyle="1" w:styleId="175">
    <w:name w:val="Translation Note"/>
    <w:basedOn w:val="1"/>
    <w:uiPriority w:val="0"/>
    <w:pPr>
      <w:spacing w:before="100" w:after="40"/>
      <w:jc w:val="center"/>
    </w:pPr>
    <w:rPr>
      <w:rFonts w:ascii="Times New Roman" w:hAnsi="Times New Roman" w:eastAsia="Times New Roman"/>
      <w:i/>
      <w:color w:val="646464"/>
      <w:sz w:val="18"/>
    </w:rPr>
  </w:style>
  <w:style w:type="paragraph" w:customStyle="1" w:styleId="176">
    <w:name w:val="Contents Entry"/>
    <w:basedOn w:val="1"/>
    <w:uiPriority w:val="0"/>
    <w:pPr>
      <w:spacing w:after="40"/>
    </w:pPr>
    <w:rPr>
      <w:rFonts w:ascii="Arial" w:hAnsi="Arial" w:eastAsia="Arial"/>
      <w:color w:val="141414"/>
      <w:sz w:val="20"/>
    </w:rPr>
  </w:style>
  <w:style w:type="paragraph" w:customStyle="1" w:styleId="177">
    <w:name w:val="章标题"/>
    <w:next w:val="1"/>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6707</Words>
  <Characters>40159</Characters>
  <Lines>0</Lines>
  <Paragraphs>0</Paragraphs>
  <TotalTime>0</TotalTime>
  <ScaleCrop>false</ScaleCrop>
  <LinksUpToDate>false</LinksUpToDate>
  <CharactersWithSpaces>46544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International Nuclear Research Infrastructure Organization (INRIO)</dc:creator>
  <dc:description>Prepared as an English translation of Version 15 dated 24 July 2026.</dc:description>
  <cp:keywords>INRIO; statutes; international organization; nuclear research infrastructure; English translation</cp:keywords>
  <cp:lastModifiedBy>李金凤</cp:lastModifiedBy>
  <dcterms:modified xsi:type="dcterms:W3CDTF">2026-08-20T22:34:26Z</dcterms:modified>
  <dc:subject>English translation of the Statutes of the International Nuclear Research Infrastructure Organization</dc:subject>
  <dc:title>INRIO Statutes - English Translation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EF4742DFC06A5B3A8C53636AF63EFB29_42</vt:lpwstr>
  </property>
  <property fmtid="{D5CDD505-2E9C-101B-9397-08002B2CF9AE}" pid="4" name="KSOTemplateDocerSaveRecord">
    <vt:lpwstr>eyJoZGlkIjoiMzEwNTM5NzYwMDRjMzkwZTVkZjY2ODkwMGIxNGU0OTUiLCJ1c2VySWQiOiI0MzgzMjk4MDcifQ==</vt:lpwstr>
  </property>
</Properties>
</file>